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1"/>
      </w:tblGrid>
      <w:tr w:rsidR="003050C6" w:rsidRPr="00F20ABC" w14:paraId="21D76604" w14:textId="77777777" w:rsidTr="00397A61">
        <w:trPr>
          <w:cnfStyle w:val="100000000000" w:firstRow="1" w:lastRow="0" w:firstColumn="0" w:lastColumn="0" w:oddVBand="0" w:evenVBand="0" w:oddHBand="0" w:evenHBand="0" w:firstRowFirstColumn="0" w:firstRowLastColumn="0" w:lastRowFirstColumn="0" w:lastRowLastColumn="0"/>
          <w:tblHeader w:val="0"/>
        </w:trPr>
        <w:tc>
          <w:tcPr>
            <w:tcW w:w="10201" w:type="dxa"/>
          </w:tcPr>
          <w:p w14:paraId="230260E6" w14:textId="50198C32" w:rsidR="003050C6" w:rsidRDefault="00B00855" w:rsidP="00C6585C">
            <w:pPr>
              <w:jc w:val="center"/>
              <w:rPr>
                <w:rFonts w:cs="Arial"/>
                <w:b/>
                <w:sz w:val="28"/>
                <w:szCs w:val="28"/>
                <w:u w:val="single"/>
              </w:rPr>
            </w:pPr>
            <w:bookmarkStart w:id="0" w:name="_Toc505627621"/>
            <w:r>
              <w:rPr>
                <w:rFonts w:cs="Arial"/>
                <w:b/>
                <w:sz w:val="28"/>
                <w:szCs w:val="28"/>
                <w:u w:val="single"/>
              </w:rPr>
              <w:t>Student Protection P</w:t>
            </w:r>
            <w:r w:rsidR="003050C6" w:rsidRPr="00F20ABC">
              <w:rPr>
                <w:rFonts w:cs="Arial"/>
                <w:b/>
                <w:sz w:val="28"/>
                <w:szCs w:val="28"/>
                <w:u w:val="single"/>
              </w:rPr>
              <w:t xml:space="preserve">lan for the </w:t>
            </w:r>
            <w:r w:rsidR="00CE6464">
              <w:rPr>
                <w:rFonts w:cs="Arial"/>
                <w:b/>
                <w:sz w:val="28"/>
                <w:szCs w:val="28"/>
                <w:u w:val="single"/>
              </w:rPr>
              <w:t>Academic Year</w:t>
            </w:r>
            <w:r w:rsidR="003050C6" w:rsidRPr="00F20ABC">
              <w:rPr>
                <w:rFonts w:cs="Arial"/>
                <w:b/>
                <w:sz w:val="28"/>
                <w:szCs w:val="28"/>
                <w:u w:val="single"/>
              </w:rPr>
              <w:t xml:space="preserve"> </w:t>
            </w:r>
            <w:r w:rsidR="00B0680D" w:rsidRPr="00F20ABC">
              <w:rPr>
                <w:rFonts w:cs="Arial"/>
                <w:b/>
                <w:sz w:val="28"/>
                <w:szCs w:val="28"/>
                <w:u w:val="single"/>
              </w:rPr>
              <w:t>2018/19</w:t>
            </w:r>
          </w:p>
          <w:p w14:paraId="3C0C9DED" w14:textId="77777777" w:rsidR="005D51CC" w:rsidRPr="00F20ABC" w:rsidRDefault="005D51CC" w:rsidP="00CE6464">
            <w:pPr>
              <w:jc w:val="both"/>
              <w:rPr>
                <w:rFonts w:cs="Arial"/>
                <w:b/>
                <w:sz w:val="28"/>
                <w:szCs w:val="28"/>
                <w:u w:val="single"/>
              </w:rPr>
            </w:pPr>
          </w:p>
          <w:p w14:paraId="72C8F121" w14:textId="70AD8FDC" w:rsidR="00397A61" w:rsidRPr="00F20ABC" w:rsidRDefault="00397A61" w:rsidP="00CE6464">
            <w:pPr>
              <w:jc w:val="both"/>
              <w:rPr>
                <w:rFonts w:cs="Arial"/>
                <w:b/>
                <w:sz w:val="28"/>
                <w:szCs w:val="28"/>
              </w:rPr>
            </w:pPr>
          </w:p>
        </w:tc>
      </w:tr>
      <w:tr w:rsidR="003050C6" w:rsidRPr="00F20ABC" w14:paraId="1F157BF5" w14:textId="77777777" w:rsidTr="00397A61">
        <w:tc>
          <w:tcPr>
            <w:tcW w:w="10201" w:type="dxa"/>
          </w:tcPr>
          <w:p w14:paraId="2D4C13F3" w14:textId="6B215B8E" w:rsidR="003050C6" w:rsidRPr="00F20ABC" w:rsidRDefault="003050C6" w:rsidP="00CE6464">
            <w:pPr>
              <w:jc w:val="both"/>
              <w:rPr>
                <w:rFonts w:cs="Arial"/>
                <w:b/>
                <w:bCs/>
              </w:rPr>
            </w:pPr>
            <w:r w:rsidRPr="00F20ABC">
              <w:rPr>
                <w:rFonts w:cs="Arial"/>
                <w:b/>
                <w:bCs/>
              </w:rPr>
              <w:t>1. An assessment of the range of risks to the continu</w:t>
            </w:r>
            <w:r w:rsidR="00CD357C" w:rsidRPr="00F20ABC">
              <w:rPr>
                <w:rFonts w:cs="Arial"/>
                <w:b/>
                <w:bCs/>
              </w:rPr>
              <w:t>ation</w:t>
            </w:r>
            <w:r w:rsidR="00F20ABC">
              <w:rPr>
                <w:rFonts w:cs="Arial"/>
                <w:b/>
                <w:bCs/>
              </w:rPr>
              <w:t xml:space="preserve"> of study for </w:t>
            </w:r>
            <w:r w:rsidRPr="00F20ABC">
              <w:rPr>
                <w:rFonts w:cs="Arial"/>
                <w:b/>
                <w:bCs/>
              </w:rPr>
              <w:t>our students,</w:t>
            </w:r>
            <w:r w:rsidRPr="00F20ABC">
              <w:rPr>
                <w:rFonts w:cs="Arial"/>
              </w:rPr>
              <w:t xml:space="preserve"> </w:t>
            </w:r>
            <w:r w:rsidRPr="00F20ABC">
              <w:rPr>
                <w:rFonts w:cs="Arial"/>
                <w:b/>
                <w:bCs/>
              </w:rPr>
              <w:t>how tho</w:t>
            </w:r>
            <w:r w:rsidR="00F20ABC">
              <w:rPr>
                <w:rFonts w:cs="Arial"/>
                <w:b/>
                <w:bCs/>
              </w:rPr>
              <w:t xml:space="preserve">se risks may differ based on </w:t>
            </w:r>
            <w:r w:rsidRPr="00F20ABC">
              <w:rPr>
                <w:rFonts w:cs="Arial"/>
                <w:b/>
                <w:bCs/>
              </w:rPr>
              <w:t>our students’ needs, characteristics and circumstances, and the likelihood that those risks will crystallise</w:t>
            </w:r>
          </w:p>
          <w:p w14:paraId="5F717800" w14:textId="55315685" w:rsidR="00397A61" w:rsidRPr="00F20ABC" w:rsidRDefault="00397A61" w:rsidP="00CE6464">
            <w:pPr>
              <w:jc w:val="both"/>
              <w:rPr>
                <w:rFonts w:cs="Arial"/>
              </w:rPr>
            </w:pPr>
          </w:p>
        </w:tc>
      </w:tr>
      <w:tr w:rsidR="00F20ABC" w:rsidRPr="00F20ABC" w14:paraId="020E2B2C" w14:textId="77777777" w:rsidTr="00397A61">
        <w:trPr>
          <w:cantSplit w:val="0"/>
        </w:trPr>
        <w:tc>
          <w:tcPr>
            <w:tcW w:w="10201" w:type="dxa"/>
          </w:tcPr>
          <w:p w14:paraId="7E09D73A" w14:textId="40D22B6D" w:rsidR="00A92D96" w:rsidRPr="00F20ABC" w:rsidRDefault="003050C6" w:rsidP="00CE6464">
            <w:pPr>
              <w:pStyle w:val="ListParagraph"/>
              <w:numPr>
                <w:ilvl w:val="0"/>
                <w:numId w:val="28"/>
              </w:numPr>
              <w:spacing w:after="0"/>
              <w:ind w:left="360" w:hanging="290"/>
              <w:jc w:val="both"/>
              <w:rPr>
                <w:rFonts w:cs="Arial"/>
                <w:b/>
              </w:rPr>
            </w:pPr>
            <w:r w:rsidRPr="00F20ABC">
              <w:rPr>
                <w:rFonts w:ascii="Arial" w:hAnsi="Arial" w:cs="Arial"/>
                <w:b/>
              </w:rPr>
              <w:t>The</w:t>
            </w:r>
            <w:r w:rsidR="00A92D96" w:rsidRPr="00F20ABC">
              <w:rPr>
                <w:rFonts w:ascii="Arial" w:hAnsi="Arial" w:cs="Arial"/>
                <w:b/>
              </w:rPr>
              <w:t>re is an extremely low</w:t>
            </w:r>
            <w:r w:rsidRPr="00F20ABC">
              <w:rPr>
                <w:rFonts w:ascii="Arial" w:hAnsi="Arial" w:cs="Arial"/>
                <w:b/>
              </w:rPr>
              <w:t xml:space="preserve"> risk that the </w:t>
            </w:r>
            <w:r w:rsidR="00802F05" w:rsidRPr="00F20ABC">
              <w:rPr>
                <w:rFonts w:ascii="Arial" w:hAnsi="Arial" w:cs="Arial"/>
                <w:b/>
              </w:rPr>
              <w:t xml:space="preserve">University </w:t>
            </w:r>
            <w:r w:rsidRPr="00F20ABC">
              <w:rPr>
                <w:rFonts w:ascii="Arial" w:hAnsi="Arial" w:cs="Arial"/>
                <w:b/>
              </w:rPr>
              <w:t xml:space="preserve">as a whole </w:t>
            </w:r>
            <w:r w:rsidR="00A92D96" w:rsidRPr="00F20ABC">
              <w:rPr>
                <w:rFonts w:ascii="Arial" w:hAnsi="Arial" w:cs="Arial"/>
                <w:b/>
              </w:rPr>
              <w:t>will be</w:t>
            </w:r>
            <w:r w:rsidRPr="00F20ABC">
              <w:rPr>
                <w:rFonts w:ascii="Arial" w:hAnsi="Arial" w:cs="Arial"/>
                <w:b/>
              </w:rPr>
              <w:t xml:space="preserve"> unable to operate</w:t>
            </w:r>
            <w:r w:rsidR="00A92D96" w:rsidRPr="00F20ABC">
              <w:rPr>
                <w:rFonts w:ascii="Arial" w:hAnsi="Arial" w:cs="Arial"/>
                <w:b/>
              </w:rPr>
              <w:t>.</w:t>
            </w:r>
            <w:r w:rsidR="001A02E4" w:rsidRPr="00F20ABC">
              <w:rPr>
                <w:rFonts w:ascii="Arial" w:hAnsi="Arial" w:cs="Arial"/>
                <w:b/>
              </w:rPr>
              <w:t xml:space="preserve"> We do not consider this to be reasonably likely to eventuate.</w:t>
            </w:r>
          </w:p>
          <w:p w14:paraId="2E5FDE2D" w14:textId="1064E85B" w:rsidR="00D83519" w:rsidRPr="00F20ABC" w:rsidRDefault="00A92D96" w:rsidP="00CE6464">
            <w:pPr>
              <w:pStyle w:val="ListParagraph"/>
              <w:numPr>
                <w:ilvl w:val="0"/>
                <w:numId w:val="0"/>
              </w:numPr>
              <w:spacing w:after="0"/>
              <w:ind w:left="360"/>
              <w:jc w:val="both"/>
              <w:rPr>
                <w:rFonts w:cs="Arial"/>
              </w:rPr>
            </w:pPr>
            <w:r w:rsidRPr="00F20ABC">
              <w:rPr>
                <w:rFonts w:ascii="Arial" w:hAnsi="Arial" w:cs="Arial"/>
              </w:rPr>
              <w:t>A</w:t>
            </w:r>
            <w:r w:rsidR="00802F05" w:rsidRPr="00F20ABC">
              <w:rPr>
                <w:rFonts w:ascii="Arial" w:hAnsi="Arial" w:cs="Arial"/>
              </w:rPr>
              <w:t xml:space="preserve"> well-managed, financially stable</w:t>
            </w:r>
            <w:r w:rsidRPr="00F20ABC">
              <w:rPr>
                <w:rFonts w:ascii="Arial" w:hAnsi="Arial" w:cs="Arial"/>
              </w:rPr>
              <w:t>,</w:t>
            </w:r>
            <w:r w:rsidR="00802F05" w:rsidRPr="00F20ABC">
              <w:rPr>
                <w:rFonts w:ascii="Arial" w:hAnsi="Arial" w:cs="Arial"/>
              </w:rPr>
              <w:t xml:space="preserve"> organisation</w:t>
            </w:r>
            <w:r w:rsidRPr="00F20ABC">
              <w:rPr>
                <w:rFonts w:ascii="Arial" w:hAnsi="Arial" w:cs="Arial"/>
              </w:rPr>
              <w:t xml:space="preserve">, the </w:t>
            </w:r>
            <w:r w:rsidR="00D83519" w:rsidRPr="00F20ABC">
              <w:rPr>
                <w:rFonts w:ascii="Arial" w:hAnsi="Arial" w:cs="Arial"/>
              </w:rPr>
              <w:t xml:space="preserve">University </w:t>
            </w:r>
            <w:r w:rsidRPr="00F20ABC">
              <w:rPr>
                <w:rFonts w:ascii="Arial" w:hAnsi="Arial" w:cs="Arial"/>
              </w:rPr>
              <w:t xml:space="preserve">of Lincoln </w:t>
            </w:r>
            <w:r w:rsidR="00D83519" w:rsidRPr="00F20ABC">
              <w:rPr>
                <w:rFonts w:ascii="Arial" w:hAnsi="Arial" w:cs="Arial"/>
              </w:rPr>
              <w:t>has well-established oversight and decision making str</w:t>
            </w:r>
            <w:r w:rsidRPr="00F20ABC">
              <w:rPr>
                <w:rFonts w:ascii="Arial" w:hAnsi="Arial" w:cs="Arial"/>
              </w:rPr>
              <w:t>u</w:t>
            </w:r>
            <w:r w:rsidR="00D83519" w:rsidRPr="00F20ABC">
              <w:rPr>
                <w:rFonts w:ascii="Arial" w:hAnsi="Arial" w:cs="Arial"/>
              </w:rPr>
              <w:t>ctures, supported by excellent</w:t>
            </w:r>
            <w:r w:rsidRPr="00F20ABC">
              <w:rPr>
                <w:rFonts w:ascii="Arial" w:hAnsi="Arial" w:cs="Arial"/>
              </w:rPr>
              <w:t>,</w:t>
            </w:r>
            <w:r w:rsidR="00D83519" w:rsidRPr="00F20ABC">
              <w:rPr>
                <w:rFonts w:ascii="Arial" w:hAnsi="Arial" w:cs="Arial"/>
              </w:rPr>
              <w:t xml:space="preserve"> reliable</w:t>
            </w:r>
            <w:r w:rsidR="0092642D" w:rsidRPr="00F20ABC">
              <w:rPr>
                <w:rFonts w:ascii="Arial" w:hAnsi="Arial" w:cs="Arial"/>
              </w:rPr>
              <w:t>,</w:t>
            </w:r>
            <w:r w:rsidR="00D83519" w:rsidRPr="00F20ABC">
              <w:rPr>
                <w:rFonts w:ascii="Arial" w:hAnsi="Arial" w:cs="Arial"/>
              </w:rPr>
              <w:t xml:space="preserve"> and timely</w:t>
            </w:r>
            <w:r w:rsidRPr="00F20ABC">
              <w:rPr>
                <w:rFonts w:ascii="Arial" w:hAnsi="Arial" w:cs="Arial"/>
              </w:rPr>
              <w:t>,</w:t>
            </w:r>
            <w:r w:rsidR="00D83519" w:rsidRPr="00F20ABC">
              <w:rPr>
                <w:rFonts w:ascii="Arial" w:hAnsi="Arial" w:cs="Arial"/>
              </w:rPr>
              <w:t xml:space="preserve"> management information, which together enable it to respond quickly and effectively to changes in the environment.</w:t>
            </w:r>
            <w:r w:rsidRPr="00F20ABC">
              <w:rPr>
                <w:rFonts w:ascii="Arial" w:hAnsi="Arial" w:cs="Arial"/>
              </w:rPr>
              <w:t xml:space="preserve"> </w:t>
            </w:r>
            <w:r w:rsidR="00802F05" w:rsidRPr="00F20ABC">
              <w:rPr>
                <w:rFonts w:ascii="Arial" w:hAnsi="Arial" w:cs="Arial"/>
              </w:rPr>
              <w:t xml:space="preserve">In recent years, the University has bucked the national trend demonstrating high demand and consistent growth. The University has reported a financial surplus for each of the last </w:t>
            </w:r>
            <w:r w:rsidR="0092642D" w:rsidRPr="00F20ABC">
              <w:rPr>
                <w:rFonts w:ascii="Arial" w:hAnsi="Arial" w:cs="Arial"/>
              </w:rPr>
              <w:t>12</w:t>
            </w:r>
            <w:r w:rsidR="00802F05" w:rsidRPr="00F20ABC">
              <w:rPr>
                <w:rFonts w:ascii="Arial" w:hAnsi="Arial" w:cs="Arial"/>
              </w:rPr>
              <w:t xml:space="preserve"> years and, as evidenced in the 16/17 financial statements, has total reserves of </w:t>
            </w:r>
            <w:r w:rsidR="009A7991" w:rsidRPr="00F20ABC">
              <w:rPr>
                <w:rFonts w:ascii="Arial" w:hAnsi="Arial" w:cs="Arial"/>
              </w:rPr>
              <w:t xml:space="preserve">over </w:t>
            </w:r>
            <w:r w:rsidR="00D83519" w:rsidRPr="00F20ABC">
              <w:rPr>
                <w:rFonts w:ascii="Arial" w:hAnsi="Arial" w:cs="Arial"/>
              </w:rPr>
              <w:t>£1</w:t>
            </w:r>
            <w:r w:rsidR="009A7991" w:rsidRPr="00F20ABC">
              <w:rPr>
                <w:rFonts w:ascii="Arial" w:hAnsi="Arial" w:cs="Arial"/>
              </w:rPr>
              <w:t>56</w:t>
            </w:r>
            <w:r w:rsidR="00D83519" w:rsidRPr="00F20ABC">
              <w:rPr>
                <w:rFonts w:ascii="Arial" w:hAnsi="Arial" w:cs="Arial"/>
              </w:rPr>
              <w:t>m</w:t>
            </w:r>
            <w:r w:rsidR="00802F05" w:rsidRPr="00F20ABC">
              <w:rPr>
                <w:rFonts w:ascii="Arial" w:hAnsi="Arial" w:cs="Arial"/>
              </w:rPr>
              <w:t xml:space="preserve"> and cash reserves of </w:t>
            </w:r>
            <w:r w:rsidR="009A7991" w:rsidRPr="00F20ABC">
              <w:rPr>
                <w:rFonts w:ascii="Arial" w:hAnsi="Arial" w:cs="Arial"/>
              </w:rPr>
              <w:t xml:space="preserve">over </w:t>
            </w:r>
            <w:r w:rsidR="00D83519" w:rsidRPr="00F20ABC">
              <w:rPr>
                <w:rFonts w:ascii="Arial" w:hAnsi="Arial" w:cs="Arial"/>
              </w:rPr>
              <w:t>£30m.</w:t>
            </w:r>
          </w:p>
          <w:p w14:paraId="1591A62A" w14:textId="77777777" w:rsidR="001A02E4" w:rsidRPr="00F20ABC" w:rsidRDefault="001A02E4" w:rsidP="00CE6464">
            <w:pPr>
              <w:pStyle w:val="ListParagraph"/>
              <w:numPr>
                <w:ilvl w:val="0"/>
                <w:numId w:val="0"/>
              </w:numPr>
              <w:spacing w:after="0"/>
              <w:ind w:left="360"/>
              <w:jc w:val="both"/>
              <w:rPr>
                <w:rFonts w:ascii="Arial" w:hAnsi="Arial" w:cs="Arial"/>
              </w:rPr>
            </w:pPr>
          </w:p>
          <w:p w14:paraId="03B02894" w14:textId="45496EE9" w:rsidR="001A02E4" w:rsidRPr="00F20ABC" w:rsidRDefault="00D83519" w:rsidP="00CE6464">
            <w:pPr>
              <w:pStyle w:val="ListParagraph"/>
              <w:numPr>
                <w:ilvl w:val="0"/>
                <w:numId w:val="28"/>
              </w:numPr>
              <w:spacing w:after="0"/>
              <w:ind w:left="360" w:hanging="290"/>
              <w:jc w:val="both"/>
              <w:rPr>
                <w:rFonts w:cs="Arial"/>
                <w:b/>
              </w:rPr>
            </w:pPr>
            <w:r w:rsidRPr="00F20ABC">
              <w:rPr>
                <w:rFonts w:ascii="Arial" w:hAnsi="Arial" w:cs="Arial"/>
                <w:b/>
              </w:rPr>
              <w:t>The</w:t>
            </w:r>
            <w:r w:rsidR="00A92D96" w:rsidRPr="00F20ABC">
              <w:rPr>
                <w:rFonts w:ascii="Arial" w:hAnsi="Arial" w:cs="Arial"/>
                <w:b/>
              </w:rPr>
              <w:t>re is an extremely low</w:t>
            </w:r>
            <w:r w:rsidRPr="00F20ABC">
              <w:rPr>
                <w:rFonts w:ascii="Arial" w:hAnsi="Arial" w:cs="Arial"/>
                <w:b/>
              </w:rPr>
              <w:t xml:space="preserve"> risk that the University </w:t>
            </w:r>
            <w:r w:rsidR="0092642D" w:rsidRPr="00F20ABC">
              <w:rPr>
                <w:rFonts w:ascii="Arial" w:hAnsi="Arial" w:cs="Arial"/>
                <w:b/>
              </w:rPr>
              <w:t>will</w:t>
            </w:r>
            <w:r w:rsidRPr="00F20ABC">
              <w:rPr>
                <w:rFonts w:ascii="Arial" w:hAnsi="Arial" w:cs="Arial"/>
                <w:b/>
              </w:rPr>
              <w:t xml:space="preserve"> no longer able to award the qualifications for which its students are registered</w:t>
            </w:r>
            <w:r w:rsidR="002200F2" w:rsidRPr="00F20ABC">
              <w:rPr>
                <w:rFonts w:ascii="Arial" w:hAnsi="Arial" w:cs="Arial"/>
                <w:b/>
              </w:rPr>
              <w:t>,</w:t>
            </w:r>
            <w:r w:rsidRPr="00F20ABC">
              <w:rPr>
                <w:rFonts w:ascii="Arial" w:hAnsi="Arial" w:cs="Arial"/>
                <w:b/>
              </w:rPr>
              <w:t xml:space="preserve"> because the OfS has varied or revoked </w:t>
            </w:r>
            <w:r w:rsidR="00A92D96" w:rsidRPr="00F20ABC">
              <w:rPr>
                <w:rFonts w:ascii="Arial" w:hAnsi="Arial" w:cs="Arial"/>
                <w:b/>
              </w:rPr>
              <w:t>its</w:t>
            </w:r>
            <w:r w:rsidRPr="00F20ABC">
              <w:rPr>
                <w:rFonts w:ascii="Arial" w:hAnsi="Arial" w:cs="Arial"/>
                <w:b/>
              </w:rPr>
              <w:t xml:space="preserve"> degree awarding powers</w:t>
            </w:r>
            <w:r w:rsidR="00A92D96" w:rsidRPr="00F20ABC">
              <w:rPr>
                <w:rFonts w:ascii="Arial" w:hAnsi="Arial" w:cs="Arial"/>
                <w:b/>
              </w:rPr>
              <w:t>.</w:t>
            </w:r>
            <w:r w:rsidR="001A02E4" w:rsidRPr="00F20ABC">
              <w:rPr>
                <w:rFonts w:ascii="Arial" w:hAnsi="Arial" w:cs="Arial"/>
                <w:b/>
              </w:rPr>
              <w:t xml:space="preserve"> We do not consider this to be reasonably likely to eventuate.</w:t>
            </w:r>
          </w:p>
          <w:p w14:paraId="1887F8D9" w14:textId="06ED2A9B" w:rsidR="003B209B" w:rsidRPr="00F20ABC" w:rsidRDefault="00A92D96" w:rsidP="00CE6464">
            <w:pPr>
              <w:pStyle w:val="ListParagraph"/>
              <w:numPr>
                <w:ilvl w:val="0"/>
                <w:numId w:val="0"/>
              </w:numPr>
              <w:spacing w:after="0"/>
              <w:ind w:left="360"/>
              <w:jc w:val="both"/>
              <w:rPr>
                <w:rFonts w:ascii="Arial" w:hAnsi="Arial" w:cs="Arial"/>
              </w:rPr>
            </w:pPr>
            <w:r w:rsidRPr="00F20ABC">
              <w:rPr>
                <w:rFonts w:ascii="Arial" w:hAnsi="Arial" w:cs="Arial"/>
              </w:rPr>
              <w:t>A</w:t>
            </w:r>
            <w:r w:rsidR="00712925" w:rsidRPr="00F20ABC">
              <w:rPr>
                <w:rFonts w:ascii="Arial" w:hAnsi="Arial" w:cs="Arial"/>
              </w:rPr>
              <w:t>s a</w:t>
            </w:r>
            <w:r w:rsidR="00D83519" w:rsidRPr="00F20ABC">
              <w:rPr>
                <w:rFonts w:ascii="Arial" w:hAnsi="Arial" w:cs="Arial"/>
              </w:rPr>
              <w:t xml:space="preserve"> well-managed</w:t>
            </w:r>
            <w:r w:rsidR="00712925" w:rsidRPr="00F20ABC">
              <w:rPr>
                <w:rFonts w:ascii="Arial" w:hAnsi="Arial" w:cs="Arial"/>
              </w:rPr>
              <w:t xml:space="preserve"> academic</w:t>
            </w:r>
            <w:r w:rsidR="00D83519" w:rsidRPr="00F20ABC">
              <w:rPr>
                <w:rFonts w:ascii="Arial" w:hAnsi="Arial" w:cs="Arial"/>
              </w:rPr>
              <w:t xml:space="preserve"> </w:t>
            </w:r>
            <w:r w:rsidR="00712925" w:rsidRPr="00F20ABC">
              <w:rPr>
                <w:rFonts w:ascii="Arial" w:hAnsi="Arial" w:cs="Arial"/>
              </w:rPr>
              <w:t>institution</w:t>
            </w:r>
            <w:r w:rsidR="00D83519" w:rsidRPr="00F20ABC">
              <w:rPr>
                <w:rFonts w:ascii="Arial" w:hAnsi="Arial" w:cs="Arial"/>
              </w:rPr>
              <w:t xml:space="preserve">, </w:t>
            </w:r>
            <w:r w:rsidRPr="00F20ABC">
              <w:rPr>
                <w:rFonts w:ascii="Arial" w:hAnsi="Arial" w:cs="Arial"/>
              </w:rPr>
              <w:t xml:space="preserve">the University of Lincoln </w:t>
            </w:r>
            <w:r w:rsidR="00712925" w:rsidRPr="00F20ABC">
              <w:rPr>
                <w:rFonts w:ascii="Arial" w:hAnsi="Arial" w:cs="Arial"/>
              </w:rPr>
              <w:t>h</w:t>
            </w:r>
            <w:r w:rsidR="00D83519" w:rsidRPr="00F20ABC">
              <w:rPr>
                <w:rFonts w:ascii="Arial" w:hAnsi="Arial" w:cs="Arial"/>
              </w:rPr>
              <w:t xml:space="preserve">as </w:t>
            </w:r>
            <w:r w:rsidR="00712925" w:rsidRPr="00F20ABC">
              <w:rPr>
                <w:rFonts w:ascii="Arial" w:hAnsi="Arial" w:cs="Arial"/>
              </w:rPr>
              <w:t xml:space="preserve">strong, </w:t>
            </w:r>
            <w:r w:rsidR="00D83519" w:rsidRPr="00F20ABC">
              <w:rPr>
                <w:rFonts w:ascii="Arial" w:hAnsi="Arial" w:cs="Arial"/>
              </w:rPr>
              <w:t>well-established quality assurance and other governance structures, which ensure oversight over all compliance matters</w:t>
            </w:r>
            <w:r w:rsidRPr="00F20ABC">
              <w:rPr>
                <w:rFonts w:ascii="Arial" w:hAnsi="Arial" w:cs="Arial"/>
              </w:rPr>
              <w:t>,</w:t>
            </w:r>
            <w:r w:rsidR="00D83519" w:rsidRPr="00F20ABC">
              <w:rPr>
                <w:rFonts w:ascii="Arial" w:hAnsi="Arial" w:cs="Arial"/>
              </w:rPr>
              <w:t xml:space="preserve"> by the Senior Leadership Team and/or the Academic Board and/or the Board of Governors, as appropriate</w:t>
            </w:r>
            <w:r w:rsidR="00712925" w:rsidRPr="00F20ABC">
              <w:rPr>
                <w:rFonts w:ascii="Arial" w:hAnsi="Arial" w:cs="Arial"/>
              </w:rPr>
              <w:t>. This strength in quality assurance is demonstrated by the latest QAA institutional review (published February 2013), in which the University was "commended" for student learning opportunities, one of the four key elements of the review and classified as "meets UK expectations" in the other three areas.  In the more recent Teaching Excellence Framework exercise, the University was awarded “Gold”, in 2017</w:t>
            </w:r>
            <w:r w:rsidR="00D83519" w:rsidRPr="00F20ABC">
              <w:rPr>
                <w:rFonts w:ascii="Arial" w:hAnsi="Arial" w:cs="Arial"/>
              </w:rPr>
              <w:t>.</w:t>
            </w:r>
          </w:p>
          <w:p w14:paraId="7EA22E40" w14:textId="2C5C12B8" w:rsidR="003B209B" w:rsidRPr="00F20ABC" w:rsidRDefault="003B209B" w:rsidP="00CE6464">
            <w:pPr>
              <w:pStyle w:val="ListParagraph"/>
              <w:numPr>
                <w:ilvl w:val="0"/>
                <w:numId w:val="0"/>
              </w:numPr>
              <w:spacing w:after="0"/>
              <w:ind w:left="720"/>
              <w:jc w:val="both"/>
              <w:rPr>
                <w:rFonts w:ascii="Arial" w:hAnsi="Arial" w:cs="Arial"/>
              </w:rPr>
            </w:pPr>
          </w:p>
          <w:p w14:paraId="0BF67EC2" w14:textId="24C1F97B" w:rsidR="00A92D96" w:rsidRPr="00F20ABC" w:rsidRDefault="003B209B" w:rsidP="00CE6464">
            <w:pPr>
              <w:pStyle w:val="ListParagraph"/>
              <w:numPr>
                <w:ilvl w:val="0"/>
                <w:numId w:val="28"/>
              </w:numPr>
              <w:spacing w:after="0"/>
              <w:ind w:left="366" w:hanging="284"/>
              <w:jc w:val="both"/>
              <w:rPr>
                <w:rFonts w:cs="Arial"/>
              </w:rPr>
            </w:pPr>
            <w:r w:rsidRPr="00F20ABC">
              <w:rPr>
                <w:rFonts w:ascii="Arial" w:hAnsi="Arial" w:cs="Arial"/>
                <w:b/>
              </w:rPr>
              <w:t>The</w:t>
            </w:r>
            <w:r w:rsidR="002200F2" w:rsidRPr="00F20ABC">
              <w:rPr>
                <w:rFonts w:ascii="Arial" w:hAnsi="Arial" w:cs="Arial"/>
                <w:b/>
              </w:rPr>
              <w:t xml:space="preserve">re is a low </w:t>
            </w:r>
            <w:r w:rsidRPr="00F20ABC">
              <w:rPr>
                <w:rFonts w:ascii="Arial" w:hAnsi="Arial" w:cs="Arial"/>
                <w:b/>
              </w:rPr>
              <w:t xml:space="preserve">risk that the University </w:t>
            </w:r>
            <w:r w:rsidR="002200F2" w:rsidRPr="00F20ABC">
              <w:rPr>
                <w:rFonts w:ascii="Arial" w:hAnsi="Arial" w:cs="Arial"/>
                <w:b/>
              </w:rPr>
              <w:t>will</w:t>
            </w:r>
            <w:r w:rsidRPr="00F20ABC">
              <w:rPr>
                <w:rFonts w:ascii="Arial" w:hAnsi="Arial" w:cs="Arial"/>
                <w:b/>
              </w:rPr>
              <w:t xml:space="preserve"> </w:t>
            </w:r>
            <w:r w:rsidR="002200F2" w:rsidRPr="00F20ABC">
              <w:rPr>
                <w:rFonts w:ascii="Arial" w:hAnsi="Arial" w:cs="Arial"/>
                <w:b/>
              </w:rPr>
              <w:t>be un</w:t>
            </w:r>
            <w:r w:rsidRPr="00F20ABC">
              <w:rPr>
                <w:rFonts w:ascii="Arial" w:hAnsi="Arial" w:cs="Arial"/>
                <w:b/>
              </w:rPr>
              <w:t>able to award qualifications for which its students are registered because a validating partner has withdrawn validation</w:t>
            </w:r>
            <w:r w:rsidR="00A92D96" w:rsidRPr="00F20ABC">
              <w:rPr>
                <w:rFonts w:ascii="Arial" w:hAnsi="Arial" w:cs="Arial"/>
                <w:b/>
              </w:rPr>
              <w:t>.</w:t>
            </w:r>
          </w:p>
          <w:p w14:paraId="114D470D" w14:textId="55418E35" w:rsidR="00A92D96" w:rsidRDefault="00A92D96" w:rsidP="00CE6464">
            <w:pPr>
              <w:pStyle w:val="ListParagraph"/>
              <w:numPr>
                <w:ilvl w:val="0"/>
                <w:numId w:val="0"/>
              </w:numPr>
              <w:spacing w:after="0"/>
              <w:ind w:left="366"/>
              <w:jc w:val="both"/>
              <w:rPr>
                <w:rFonts w:ascii="Arial" w:hAnsi="Arial" w:cs="Arial"/>
              </w:rPr>
            </w:pPr>
            <w:r w:rsidRPr="00F20ABC">
              <w:rPr>
                <w:rFonts w:ascii="Arial" w:hAnsi="Arial" w:cs="Arial"/>
              </w:rPr>
              <w:t>The</w:t>
            </w:r>
            <w:r w:rsidR="00B0680D" w:rsidRPr="00F20ABC">
              <w:rPr>
                <w:rFonts w:ascii="Arial" w:hAnsi="Arial" w:cs="Arial"/>
              </w:rPr>
              <w:t>re is</w:t>
            </w:r>
            <w:r w:rsidRPr="00F20ABC">
              <w:rPr>
                <w:rFonts w:ascii="Arial" w:hAnsi="Arial" w:cs="Arial"/>
              </w:rPr>
              <w:t xml:space="preserve"> </w:t>
            </w:r>
            <w:r w:rsidR="003B209B" w:rsidRPr="00F20ABC">
              <w:rPr>
                <w:rFonts w:ascii="Arial" w:hAnsi="Arial" w:cs="Arial"/>
              </w:rPr>
              <w:t xml:space="preserve">only one such arrangement </w:t>
            </w:r>
            <w:r w:rsidRPr="00F20ABC">
              <w:rPr>
                <w:rFonts w:ascii="Arial" w:hAnsi="Arial" w:cs="Arial"/>
              </w:rPr>
              <w:t xml:space="preserve">in </w:t>
            </w:r>
            <w:r w:rsidR="003B209B" w:rsidRPr="00F20ABC">
              <w:rPr>
                <w:rFonts w:ascii="Arial" w:hAnsi="Arial" w:cs="Arial"/>
              </w:rPr>
              <w:t xml:space="preserve">which the University is involved (a transitional </w:t>
            </w:r>
            <w:r w:rsidR="00CB5103" w:rsidRPr="00F20ABC">
              <w:rPr>
                <w:rFonts w:ascii="Arial" w:hAnsi="Arial" w:cs="Arial"/>
              </w:rPr>
              <w:t xml:space="preserve">Medical School </w:t>
            </w:r>
            <w:r w:rsidR="003B209B" w:rsidRPr="00F20ABC">
              <w:rPr>
                <w:rFonts w:ascii="Arial" w:hAnsi="Arial" w:cs="Arial"/>
              </w:rPr>
              <w:t>partnership with the University of Nottingham</w:t>
            </w:r>
            <w:r w:rsidR="00CB5103" w:rsidRPr="00F20ABC">
              <w:rPr>
                <w:rFonts w:ascii="Arial" w:hAnsi="Arial" w:cs="Arial"/>
              </w:rPr>
              <w:t>)</w:t>
            </w:r>
            <w:r w:rsidRPr="00F20ABC">
              <w:rPr>
                <w:rFonts w:ascii="Arial" w:hAnsi="Arial" w:cs="Arial"/>
              </w:rPr>
              <w:t>.</w:t>
            </w:r>
          </w:p>
          <w:p w14:paraId="385C009D" w14:textId="77777777" w:rsidR="00A92D96" w:rsidRPr="00F20ABC" w:rsidRDefault="00A92D96" w:rsidP="00CE6464">
            <w:pPr>
              <w:pStyle w:val="ListParagraph"/>
              <w:numPr>
                <w:ilvl w:val="0"/>
                <w:numId w:val="0"/>
              </w:numPr>
              <w:spacing w:after="0"/>
              <w:ind w:left="366"/>
              <w:jc w:val="both"/>
              <w:rPr>
                <w:rFonts w:ascii="Arial" w:hAnsi="Arial" w:cs="Arial"/>
                <w:sz w:val="8"/>
                <w:szCs w:val="8"/>
              </w:rPr>
            </w:pPr>
          </w:p>
          <w:p w14:paraId="7C7919FE" w14:textId="77777777" w:rsidR="002200F2" w:rsidRPr="00F20ABC" w:rsidRDefault="002200F2" w:rsidP="00CE6464">
            <w:pPr>
              <w:pStyle w:val="ListParagraph"/>
              <w:numPr>
                <w:ilvl w:val="0"/>
                <w:numId w:val="0"/>
              </w:numPr>
              <w:spacing w:after="0"/>
              <w:ind w:left="366"/>
              <w:jc w:val="both"/>
              <w:rPr>
                <w:rFonts w:ascii="Arial" w:hAnsi="Arial" w:cs="Arial"/>
              </w:rPr>
            </w:pPr>
            <w:r w:rsidRPr="00F20ABC">
              <w:rPr>
                <w:rFonts w:ascii="Arial" w:hAnsi="Arial" w:cs="Arial"/>
              </w:rPr>
              <w:t>The risk is mitigated as follows:</w:t>
            </w:r>
          </w:p>
          <w:p w14:paraId="576AEF89" w14:textId="77777777" w:rsidR="002200F2" w:rsidRPr="00F20ABC" w:rsidRDefault="002200F2" w:rsidP="00CE6464">
            <w:pPr>
              <w:pStyle w:val="ListParagraph"/>
              <w:numPr>
                <w:ilvl w:val="0"/>
                <w:numId w:val="0"/>
              </w:numPr>
              <w:spacing w:after="0"/>
              <w:ind w:left="366"/>
              <w:jc w:val="both"/>
              <w:rPr>
                <w:rFonts w:ascii="Arial" w:hAnsi="Arial" w:cs="Arial"/>
                <w:sz w:val="8"/>
                <w:szCs w:val="8"/>
              </w:rPr>
            </w:pPr>
          </w:p>
          <w:p w14:paraId="1E8E4C09" w14:textId="71AB0F95" w:rsidR="002200F2" w:rsidRPr="00F20ABC" w:rsidRDefault="002200F2" w:rsidP="00CE6464">
            <w:pPr>
              <w:pStyle w:val="ListParagraph"/>
              <w:numPr>
                <w:ilvl w:val="0"/>
                <w:numId w:val="29"/>
              </w:numPr>
              <w:spacing w:after="0"/>
              <w:ind w:left="791" w:hanging="431"/>
              <w:jc w:val="both"/>
              <w:rPr>
                <w:rFonts w:ascii="Arial" w:hAnsi="Arial" w:cs="Arial"/>
              </w:rPr>
            </w:pPr>
            <w:r w:rsidRPr="00F20ABC">
              <w:rPr>
                <w:rFonts w:ascii="Arial" w:hAnsi="Arial" w:cs="Arial"/>
              </w:rPr>
              <w:t xml:space="preserve">The agreement runs to </w:t>
            </w:r>
            <w:r w:rsidR="008A1A67" w:rsidRPr="00F20ABC">
              <w:rPr>
                <w:rFonts w:ascii="Arial" w:hAnsi="Arial" w:cs="Arial"/>
              </w:rPr>
              <w:t>31 August 2031</w:t>
            </w:r>
            <w:r w:rsidRPr="00F20ABC">
              <w:rPr>
                <w:rFonts w:ascii="Arial" w:hAnsi="Arial" w:cs="Arial"/>
              </w:rPr>
              <w:t xml:space="preserve"> and is anticipated to remain in place until full General Medical Council approval has been secured for the University to award undergraduate medical degrees.</w:t>
            </w:r>
          </w:p>
          <w:p w14:paraId="0241D7A1" w14:textId="55135FAC" w:rsidR="002200F2" w:rsidRPr="00F20ABC" w:rsidRDefault="002200F2" w:rsidP="00CE6464">
            <w:pPr>
              <w:pStyle w:val="ListParagraph"/>
              <w:numPr>
                <w:ilvl w:val="0"/>
                <w:numId w:val="29"/>
              </w:numPr>
              <w:spacing w:after="0"/>
              <w:ind w:left="791" w:hanging="431"/>
              <w:jc w:val="both"/>
              <w:rPr>
                <w:rFonts w:ascii="Arial" w:hAnsi="Arial" w:cs="Arial"/>
              </w:rPr>
            </w:pPr>
            <w:r w:rsidRPr="00F20ABC">
              <w:rPr>
                <w:rFonts w:ascii="Arial" w:hAnsi="Arial" w:cs="Arial"/>
              </w:rPr>
              <w:t>The two universities have agreed joint Medical School governance arrangements, to supplement their</w:t>
            </w:r>
            <w:r w:rsidR="0092642D" w:rsidRPr="00F20ABC">
              <w:rPr>
                <w:rFonts w:ascii="Arial" w:hAnsi="Arial" w:cs="Arial"/>
              </w:rPr>
              <w:t xml:space="preserve"> individual, well-established, </w:t>
            </w:r>
            <w:r w:rsidRPr="00F20ABC">
              <w:rPr>
                <w:rFonts w:ascii="Arial" w:hAnsi="Arial" w:cs="Arial"/>
              </w:rPr>
              <w:t>oversight and assurance frameworks.</w:t>
            </w:r>
          </w:p>
          <w:p w14:paraId="2D9017B3" w14:textId="370C01A0" w:rsidR="002200F2" w:rsidRPr="00F20ABC" w:rsidRDefault="002200F2" w:rsidP="00CE6464">
            <w:pPr>
              <w:pStyle w:val="ListParagraph"/>
              <w:numPr>
                <w:ilvl w:val="0"/>
                <w:numId w:val="29"/>
              </w:numPr>
              <w:spacing w:after="0"/>
              <w:ind w:left="791" w:hanging="431"/>
              <w:jc w:val="both"/>
              <w:rPr>
                <w:rFonts w:cs="Arial"/>
              </w:rPr>
            </w:pPr>
            <w:r w:rsidRPr="00F20ABC">
              <w:rPr>
                <w:rFonts w:ascii="Arial" w:hAnsi="Arial" w:cs="Arial"/>
              </w:rPr>
              <w:t>The University has committed significant ring-fenced resources, based upon a business model informed by the University of Nottingham, to ensure the financial success of the partnership.</w:t>
            </w:r>
          </w:p>
          <w:p w14:paraId="53A5426C" w14:textId="6DA3D240" w:rsidR="00A92D96" w:rsidRPr="00F20ABC" w:rsidRDefault="002200F2" w:rsidP="00CE6464">
            <w:pPr>
              <w:pStyle w:val="ListParagraph"/>
              <w:numPr>
                <w:ilvl w:val="0"/>
                <w:numId w:val="29"/>
              </w:numPr>
              <w:spacing w:after="0"/>
              <w:ind w:left="791" w:hanging="431"/>
              <w:jc w:val="both"/>
              <w:rPr>
                <w:rFonts w:ascii="Arial" w:hAnsi="Arial" w:cs="Arial"/>
              </w:rPr>
            </w:pPr>
            <w:r w:rsidRPr="00F20ABC">
              <w:rPr>
                <w:rFonts w:ascii="Arial" w:hAnsi="Arial" w:cs="Arial"/>
              </w:rPr>
              <w:t>In the highly unlikely event of a failure of the partnership, the agreement is clear that the University of Nottingham will step</w:t>
            </w:r>
            <w:r w:rsidR="008A1A67" w:rsidRPr="00F20ABC">
              <w:rPr>
                <w:rFonts w:ascii="Arial" w:hAnsi="Arial" w:cs="Arial"/>
              </w:rPr>
              <w:t xml:space="preserve"> </w:t>
            </w:r>
            <w:r w:rsidRPr="00F20ABC">
              <w:rPr>
                <w:rFonts w:ascii="Arial" w:hAnsi="Arial" w:cs="Arial"/>
              </w:rPr>
              <w:t>in to ensure that students are not disadvantaged</w:t>
            </w:r>
            <w:r w:rsidR="00A92D96" w:rsidRPr="00F20ABC">
              <w:rPr>
                <w:rFonts w:ascii="Arial" w:hAnsi="Arial" w:cs="Arial"/>
              </w:rPr>
              <w:t>.</w:t>
            </w:r>
          </w:p>
          <w:p w14:paraId="68E289D2" w14:textId="75B3D4D2" w:rsidR="007C0F37" w:rsidRPr="00F20ABC" w:rsidRDefault="007C0F37" w:rsidP="00CE6464">
            <w:pPr>
              <w:pStyle w:val="ListParagraph"/>
              <w:numPr>
                <w:ilvl w:val="0"/>
                <w:numId w:val="0"/>
              </w:numPr>
              <w:spacing w:after="0"/>
              <w:ind w:left="720"/>
              <w:jc w:val="both"/>
              <w:rPr>
                <w:rFonts w:cs="Arial"/>
              </w:rPr>
            </w:pPr>
          </w:p>
          <w:p w14:paraId="5FF98794" w14:textId="5273F770" w:rsidR="007C0F37" w:rsidRPr="00F20ABC" w:rsidRDefault="007C0F37" w:rsidP="00CE6464">
            <w:pPr>
              <w:pStyle w:val="ListParagraph"/>
              <w:numPr>
                <w:ilvl w:val="0"/>
                <w:numId w:val="28"/>
              </w:numPr>
              <w:spacing w:after="0"/>
              <w:ind w:left="366" w:hanging="284"/>
              <w:jc w:val="both"/>
              <w:rPr>
                <w:rFonts w:ascii="Arial" w:hAnsi="Arial" w:cs="Arial"/>
                <w:b/>
              </w:rPr>
            </w:pPr>
            <w:r w:rsidRPr="00F20ABC">
              <w:rPr>
                <w:rFonts w:ascii="Arial" w:hAnsi="Arial" w:cs="Arial"/>
                <w:b/>
              </w:rPr>
              <w:t xml:space="preserve">There is a </w:t>
            </w:r>
            <w:r w:rsidR="00C80E35" w:rsidRPr="00F20ABC">
              <w:rPr>
                <w:rFonts w:ascii="Arial" w:hAnsi="Arial" w:cs="Arial"/>
                <w:b/>
              </w:rPr>
              <w:t xml:space="preserve">low </w:t>
            </w:r>
            <w:r w:rsidRPr="00F20ABC">
              <w:rPr>
                <w:rFonts w:ascii="Arial" w:hAnsi="Arial" w:cs="Arial"/>
                <w:b/>
              </w:rPr>
              <w:t xml:space="preserve">risk that a </w:t>
            </w:r>
            <w:r w:rsidR="004757A7" w:rsidRPr="00F20ABC">
              <w:rPr>
                <w:rFonts w:ascii="Arial" w:hAnsi="Arial" w:cs="Arial"/>
                <w:b/>
              </w:rPr>
              <w:t xml:space="preserve">validation arrangement under which University of Lincoln programmes are delivered by a partner organisation comes to an end. </w:t>
            </w:r>
          </w:p>
          <w:p w14:paraId="48C41C8D" w14:textId="59CCB792" w:rsidR="007C0F37" w:rsidRPr="00F20ABC" w:rsidRDefault="007C0F37" w:rsidP="00CE6464">
            <w:pPr>
              <w:pStyle w:val="ListParagraph"/>
              <w:numPr>
                <w:ilvl w:val="0"/>
                <w:numId w:val="0"/>
              </w:numPr>
              <w:spacing w:after="0"/>
              <w:ind w:left="366"/>
              <w:jc w:val="both"/>
              <w:rPr>
                <w:rFonts w:ascii="Arial" w:hAnsi="Arial" w:cs="Arial"/>
              </w:rPr>
            </w:pPr>
            <w:r w:rsidRPr="00F20ABC">
              <w:rPr>
                <w:rFonts w:ascii="Arial" w:hAnsi="Arial" w:cs="Arial"/>
              </w:rPr>
              <w:t>The University has the following agreements in place:</w:t>
            </w:r>
          </w:p>
          <w:p w14:paraId="6DA76146" w14:textId="77777777" w:rsidR="007C0F37" w:rsidRPr="00F20ABC" w:rsidRDefault="007C0F37" w:rsidP="00CE6464">
            <w:pPr>
              <w:pStyle w:val="ListParagraph"/>
              <w:numPr>
                <w:ilvl w:val="0"/>
                <w:numId w:val="0"/>
              </w:numPr>
              <w:spacing w:after="0"/>
              <w:ind w:left="366"/>
              <w:jc w:val="both"/>
              <w:rPr>
                <w:rFonts w:ascii="Arial" w:hAnsi="Arial" w:cs="Arial"/>
                <w:sz w:val="8"/>
                <w:szCs w:val="8"/>
              </w:rPr>
            </w:pPr>
          </w:p>
          <w:p w14:paraId="26881A2D" w14:textId="0AAEFB34" w:rsidR="007C0F37" w:rsidRPr="00F20ABC" w:rsidRDefault="007C0F37" w:rsidP="00CE6464">
            <w:pPr>
              <w:pStyle w:val="ListParagraph"/>
              <w:numPr>
                <w:ilvl w:val="0"/>
                <w:numId w:val="28"/>
              </w:numPr>
              <w:spacing w:after="0"/>
              <w:jc w:val="both"/>
              <w:rPr>
                <w:rFonts w:ascii="Arial" w:hAnsi="Arial" w:cs="Arial"/>
              </w:rPr>
            </w:pPr>
            <w:r w:rsidRPr="00F20ABC">
              <w:rPr>
                <w:rFonts w:ascii="Arial" w:hAnsi="Arial" w:cs="Arial"/>
              </w:rPr>
              <w:t>North Lindsey College, Scunthorpe (validation: 100% delivery by partner).</w:t>
            </w:r>
          </w:p>
          <w:p w14:paraId="62622B61" w14:textId="06F7E421" w:rsidR="007C0F37" w:rsidRPr="00F20ABC" w:rsidRDefault="007C0F37" w:rsidP="00CE6464">
            <w:pPr>
              <w:pStyle w:val="ListParagraph"/>
              <w:numPr>
                <w:ilvl w:val="0"/>
                <w:numId w:val="28"/>
              </w:numPr>
              <w:spacing w:after="0"/>
              <w:jc w:val="both"/>
              <w:rPr>
                <w:rFonts w:ascii="Arial" w:hAnsi="Arial" w:cs="Arial"/>
              </w:rPr>
            </w:pPr>
            <w:r w:rsidRPr="00F20ABC">
              <w:rPr>
                <w:rFonts w:ascii="Arial" w:hAnsi="Arial" w:cs="Arial"/>
              </w:rPr>
              <w:lastRenderedPageBreak/>
              <w:t>Lincoln College, Lincoln (validation: 100% delivery by partner).</w:t>
            </w:r>
          </w:p>
          <w:p w14:paraId="193A3F95" w14:textId="7D5F8848" w:rsidR="007C0F37" w:rsidRPr="00F20ABC" w:rsidRDefault="007C0F37" w:rsidP="00CE6464">
            <w:pPr>
              <w:pStyle w:val="ListParagraph"/>
              <w:numPr>
                <w:ilvl w:val="0"/>
                <w:numId w:val="28"/>
              </w:numPr>
              <w:spacing w:after="0"/>
              <w:jc w:val="both"/>
              <w:rPr>
                <w:rFonts w:ascii="Arial" w:hAnsi="Arial" w:cs="Arial"/>
              </w:rPr>
            </w:pPr>
            <w:r w:rsidRPr="00F20ABC">
              <w:rPr>
                <w:rFonts w:ascii="Arial" w:hAnsi="Arial" w:cs="Arial"/>
              </w:rPr>
              <w:t>KDU University College, Penang (dual degree award: 100% delivered by partner).</w:t>
            </w:r>
          </w:p>
          <w:p w14:paraId="7AAC69D5" w14:textId="6C09756E" w:rsidR="007C0F37" w:rsidRPr="00F20ABC" w:rsidRDefault="007C0F37" w:rsidP="00CE6464">
            <w:pPr>
              <w:pStyle w:val="ListParagraph"/>
              <w:numPr>
                <w:ilvl w:val="0"/>
                <w:numId w:val="28"/>
              </w:numPr>
              <w:spacing w:after="0"/>
              <w:jc w:val="both"/>
              <w:rPr>
                <w:rFonts w:ascii="Arial" w:hAnsi="Arial" w:cs="Arial"/>
                <w:b/>
              </w:rPr>
            </w:pPr>
            <w:r w:rsidRPr="00F20ABC">
              <w:rPr>
                <w:rFonts w:ascii="Arial" w:hAnsi="Arial" w:cs="Arial"/>
              </w:rPr>
              <w:t>HKDI, Hong Kong (</w:t>
            </w:r>
            <w:r w:rsidR="00C80E35" w:rsidRPr="00F20ABC">
              <w:rPr>
                <w:rFonts w:ascii="Arial" w:hAnsi="Arial" w:cs="Arial"/>
              </w:rPr>
              <w:t>co</w:t>
            </w:r>
            <w:r w:rsidR="00817DA5" w:rsidRPr="00F20ABC">
              <w:rPr>
                <w:rFonts w:ascii="Arial" w:hAnsi="Arial" w:cs="Arial"/>
              </w:rPr>
              <w:t>l</w:t>
            </w:r>
            <w:r w:rsidR="00C80E35" w:rsidRPr="00F20ABC">
              <w:rPr>
                <w:rFonts w:ascii="Arial" w:hAnsi="Arial" w:cs="Arial"/>
              </w:rPr>
              <w:t>laboration</w:t>
            </w:r>
            <w:r w:rsidRPr="00F20ABC">
              <w:rPr>
                <w:rFonts w:ascii="Arial" w:hAnsi="Arial" w:cs="Arial"/>
              </w:rPr>
              <w:t xml:space="preserve">: delivered by partner, with 40% of teaching </w:t>
            </w:r>
            <w:r w:rsidR="00C80E35" w:rsidRPr="00F20ABC">
              <w:rPr>
                <w:rFonts w:ascii="Arial" w:hAnsi="Arial" w:cs="Arial"/>
              </w:rPr>
              <w:t>provid</w:t>
            </w:r>
            <w:r w:rsidRPr="00F20ABC">
              <w:rPr>
                <w:rFonts w:ascii="Arial" w:hAnsi="Arial" w:cs="Arial"/>
              </w:rPr>
              <w:t>ed by University staff in Hong Kong).</w:t>
            </w:r>
          </w:p>
          <w:p w14:paraId="681A22EC" w14:textId="77777777" w:rsidR="00C80E35" w:rsidRPr="00F20ABC" w:rsidRDefault="00C80E35" w:rsidP="00CE6464">
            <w:pPr>
              <w:pStyle w:val="ListParagraph"/>
              <w:numPr>
                <w:ilvl w:val="0"/>
                <w:numId w:val="0"/>
              </w:numPr>
              <w:spacing w:after="0"/>
              <w:ind w:left="366"/>
              <w:jc w:val="both"/>
              <w:rPr>
                <w:rFonts w:ascii="Arial" w:hAnsi="Arial" w:cs="Arial"/>
                <w:sz w:val="8"/>
                <w:szCs w:val="8"/>
              </w:rPr>
            </w:pPr>
          </w:p>
          <w:p w14:paraId="5C72C263" w14:textId="1B160194" w:rsidR="00C80E35" w:rsidRDefault="00C80E35" w:rsidP="00CE6464">
            <w:pPr>
              <w:pStyle w:val="ListParagraph"/>
              <w:numPr>
                <w:ilvl w:val="0"/>
                <w:numId w:val="0"/>
              </w:numPr>
              <w:spacing w:after="0"/>
              <w:ind w:left="366"/>
              <w:jc w:val="both"/>
              <w:rPr>
                <w:rFonts w:ascii="Arial" w:hAnsi="Arial" w:cs="Arial"/>
              </w:rPr>
            </w:pPr>
            <w:r w:rsidRPr="00F20ABC">
              <w:rPr>
                <w:rFonts w:ascii="Arial" w:hAnsi="Arial" w:cs="Arial"/>
              </w:rPr>
              <w:t xml:space="preserve">The </w:t>
            </w:r>
            <w:r w:rsidR="00CA2002" w:rsidRPr="00F20ABC">
              <w:rPr>
                <w:rFonts w:ascii="Arial" w:hAnsi="Arial" w:cs="Arial"/>
              </w:rPr>
              <w:t>risk is mitigated as follows:</w:t>
            </w:r>
          </w:p>
          <w:p w14:paraId="552F6392" w14:textId="77777777" w:rsidR="00CE6464" w:rsidRPr="00CE6464" w:rsidRDefault="00CE6464" w:rsidP="00CE6464">
            <w:pPr>
              <w:pStyle w:val="ListParagraph"/>
              <w:numPr>
                <w:ilvl w:val="0"/>
                <w:numId w:val="0"/>
              </w:numPr>
              <w:spacing w:after="0"/>
              <w:ind w:left="366"/>
              <w:jc w:val="both"/>
              <w:rPr>
                <w:rFonts w:ascii="Arial" w:hAnsi="Arial" w:cs="Arial"/>
                <w:sz w:val="8"/>
                <w:szCs w:val="8"/>
              </w:rPr>
            </w:pPr>
          </w:p>
          <w:p w14:paraId="388FC0A4" w14:textId="14003BE0" w:rsidR="00CA2002" w:rsidRPr="00F20ABC" w:rsidRDefault="00CA2002" w:rsidP="00CE6464">
            <w:pPr>
              <w:pStyle w:val="ListParagraph"/>
              <w:numPr>
                <w:ilvl w:val="0"/>
                <w:numId w:val="29"/>
              </w:numPr>
              <w:spacing w:after="0"/>
              <w:ind w:left="791" w:hanging="431"/>
              <w:jc w:val="both"/>
              <w:rPr>
                <w:rFonts w:ascii="Arial" w:hAnsi="Arial" w:cs="Arial"/>
              </w:rPr>
            </w:pPr>
            <w:r w:rsidRPr="00F20ABC">
              <w:rPr>
                <w:rFonts w:ascii="Arial" w:hAnsi="Arial" w:cs="Arial"/>
              </w:rPr>
              <w:t>Under the University's standard agreements, partners are required to "teach out" all students to whom a commitment has been made, should an agreement not be extended (or be terminated early).</w:t>
            </w:r>
          </w:p>
          <w:p w14:paraId="0381EBE4" w14:textId="51C4E74D" w:rsidR="00CA2002" w:rsidRPr="00F20ABC" w:rsidRDefault="00CA2002" w:rsidP="00CE6464">
            <w:pPr>
              <w:pStyle w:val="ListParagraph"/>
              <w:numPr>
                <w:ilvl w:val="0"/>
                <w:numId w:val="29"/>
              </w:numPr>
              <w:spacing w:after="0"/>
              <w:ind w:left="791" w:hanging="425"/>
              <w:jc w:val="both"/>
              <w:rPr>
                <w:rFonts w:ascii="Arial" w:hAnsi="Arial" w:cs="Arial"/>
              </w:rPr>
            </w:pPr>
            <w:r w:rsidRPr="00F20ABC">
              <w:rPr>
                <w:rFonts w:ascii="Arial" w:hAnsi="Arial" w:cs="Arial"/>
              </w:rPr>
              <w:t>In the event that a partner does not</w:t>
            </w:r>
            <w:r w:rsidR="00CE6464">
              <w:rPr>
                <w:rFonts w:ascii="Arial" w:hAnsi="Arial" w:cs="Arial"/>
              </w:rPr>
              <w:t>,</w:t>
            </w:r>
            <w:r w:rsidR="002B6B8F" w:rsidRPr="00F20ABC">
              <w:rPr>
                <w:rFonts w:ascii="Arial" w:hAnsi="Arial" w:cs="Arial"/>
              </w:rPr>
              <w:t xml:space="preserve"> or cannot</w:t>
            </w:r>
            <w:r w:rsidR="00CE6464">
              <w:rPr>
                <w:rFonts w:ascii="Arial" w:hAnsi="Arial" w:cs="Arial"/>
              </w:rPr>
              <w:t>,</w:t>
            </w:r>
            <w:r w:rsidRPr="00F20ABC">
              <w:rPr>
                <w:rFonts w:ascii="Arial" w:hAnsi="Arial" w:cs="Arial"/>
              </w:rPr>
              <w:t xml:space="preserve"> meet teach out responsibilities, the University will step in and ensure that the students are taught out.</w:t>
            </w:r>
          </w:p>
          <w:p w14:paraId="39984035" w14:textId="77777777" w:rsidR="00C80E35" w:rsidRPr="00F20ABC" w:rsidRDefault="00C80E35" w:rsidP="00CE6464">
            <w:pPr>
              <w:pStyle w:val="ListParagraph"/>
              <w:numPr>
                <w:ilvl w:val="0"/>
                <w:numId w:val="0"/>
              </w:numPr>
              <w:spacing w:after="0"/>
              <w:ind w:left="366"/>
              <w:jc w:val="both"/>
              <w:rPr>
                <w:rFonts w:ascii="Arial" w:hAnsi="Arial" w:cs="Arial"/>
                <w:szCs w:val="22"/>
              </w:rPr>
            </w:pPr>
          </w:p>
          <w:p w14:paraId="76BB14AB" w14:textId="77777777" w:rsidR="002617C8" w:rsidRPr="00F20ABC" w:rsidRDefault="002617C8" w:rsidP="00CE6464">
            <w:pPr>
              <w:pStyle w:val="ListParagraph"/>
              <w:numPr>
                <w:ilvl w:val="0"/>
                <w:numId w:val="28"/>
              </w:numPr>
              <w:spacing w:after="0"/>
              <w:ind w:left="366" w:hanging="284"/>
              <w:jc w:val="both"/>
              <w:rPr>
                <w:rFonts w:ascii="Arial" w:hAnsi="Arial" w:cs="Arial"/>
                <w:b/>
              </w:rPr>
            </w:pPr>
            <w:r w:rsidRPr="00F20ABC">
              <w:rPr>
                <w:rFonts w:ascii="Arial" w:hAnsi="Arial" w:cs="Arial"/>
                <w:b/>
              </w:rPr>
              <w:t>There is a low risk that the University is no longer able to deliver courses to students in one or more subject areas and/or departments.</w:t>
            </w:r>
          </w:p>
          <w:p w14:paraId="0E7C9B79" w14:textId="00663025" w:rsidR="00B14A05" w:rsidRPr="00F20ABC" w:rsidRDefault="00B14A05" w:rsidP="00CE6464">
            <w:pPr>
              <w:pStyle w:val="ListParagraph"/>
              <w:numPr>
                <w:ilvl w:val="0"/>
                <w:numId w:val="0"/>
              </w:numPr>
              <w:spacing w:after="0"/>
              <w:ind w:left="366"/>
              <w:jc w:val="both"/>
              <w:rPr>
                <w:rFonts w:ascii="Arial" w:hAnsi="Arial" w:cs="Arial"/>
              </w:rPr>
            </w:pPr>
            <w:r w:rsidRPr="00F20ABC">
              <w:rPr>
                <w:rFonts w:ascii="Arial" w:hAnsi="Arial" w:cs="Arial"/>
              </w:rPr>
              <w:t xml:space="preserve">The University has a very broad academic base, with a (four) College structure. Under the Colleges sit the </w:t>
            </w:r>
            <w:r w:rsidR="0092642D" w:rsidRPr="00F20ABC">
              <w:rPr>
                <w:rFonts w:ascii="Arial" w:hAnsi="Arial" w:cs="Arial"/>
              </w:rPr>
              <w:t>25</w:t>
            </w:r>
            <w:r w:rsidRPr="00F20ABC">
              <w:rPr>
                <w:rFonts w:ascii="Arial" w:hAnsi="Arial" w:cs="Arial"/>
              </w:rPr>
              <w:t xml:space="preserve"> Academic Schools/Departments, covering in excess of </w:t>
            </w:r>
            <w:r w:rsidR="0092642D" w:rsidRPr="00F20ABC">
              <w:rPr>
                <w:rFonts w:ascii="Arial" w:hAnsi="Arial" w:cs="Arial"/>
              </w:rPr>
              <w:t>80</w:t>
            </w:r>
            <w:r w:rsidRPr="00F20ABC">
              <w:rPr>
                <w:rFonts w:ascii="Arial" w:hAnsi="Arial" w:cs="Arial"/>
              </w:rPr>
              <w:t xml:space="preserve"> subject areas. </w:t>
            </w:r>
          </w:p>
          <w:p w14:paraId="0DD932FA" w14:textId="77777777" w:rsidR="00456AA6" w:rsidRPr="00F20ABC" w:rsidRDefault="00456AA6" w:rsidP="00CE6464">
            <w:pPr>
              <w:pStyle w:val="ListParagraph"/>
              <w:numPr>
                <w:ilvl w:val="0"/>
                <w:numId w:val="0"/>
              </w:numPr>
              <w:spacing w:after="0"/>
              <w:ind w:left="366"/>
              <w:jc w:val="both"/>
              <w:rPr>
                <w:rFonts w:ascii="Arial" w:hAnsi="Arial" w:cs="Arial"/>
                <w:sz w:val="8"/>
                <w:szCs w:val="8"/>
              </w:rPr>
            </w:pPr>
          </w:p>
          <w:p w14:paraId="608559D7" w14:textId="77777777" w:rsidR="00456AA6" w:rsidRPr="00F20ABC" w:rsidRDefault="00456AA6" w:rsidP="00CE6464">
            <w:pPr>
              <w:pStyle w:val="ListParagraph"/>
              <w:numPr>
                <w:ilvl w:val="0"/>
                <w:numId w:val="0"/>
              </w:numPr>
              <w:spacing w:after="0"/>
              <w:ind w:left="366"/>
              <w:jc w:val="both"/>
              <w:rPr>
                <w:rFonts w:ascii="Arial" w:hAnsi="Arial" w:cs="Arial"/>
              </w:rPr>
            </w:pPr>
            <w:r w:rsidRPr="00F20ABC">
              <w:rPr>
                <w:rFonts w:ascii="Arial" w:hAnsi="Arial" w:cs="Arial"/>
              </w:rPr>
              <w:t>The risk is mitigated as follows:</w:t>
            </w:r>
          </w:p>
          <w:p w14:paraId="76D46FB5" w14:textId="77777777" w:rsidR="00456AA6" w:rsidRPr="00F20ABC" w:rsidRDefault="00456AA6" w:rsidP="00CE6464">
            <w:pPr>
              <w:pStyle w:val="ListParagraph"/>
              <w:numPr>
                <w:ilvl w:val="0"/>
                <w:numId w:val="0"/>
              </w:numPr>
              <w:spacing w:after="0"/>
              <w:ind w:left="366"/>
              <w:jc w:val="both"/>
              <w:rPr>
                <w:rFonts w:ascii="Arial" w:hAnsi="Arial" w:cs="Arial"/>
                <w:sz w:val="8"/>
                <w:szCs w:val="8"/>
              </w:rPr>
            </w:pPr>
          </w:p>
          <w:p w14:paraId="29EB0043" w14:textId="4ECE7474" w:rsidR="00D83519" w:rsidRPr="00F20ABC" w:rsidRDefault="002200F2" w:rsidP="00CE6464">
            <w:pPr>
              <w:pStyle w:val="ListParagraph"/>
              <w:numPr>
                <w:ilvl w:val="0"/>
                <w:numId w:val="29"/>
              </w:numPr>
              <w:spacing w:after="0"/>
              <w:ind w:left="791" w:hanging="431"/>
              <w:jc w:val="both"/>
              <w:rPr>
                <w:rFonts w:ascii="Arial" w:hAnsi="Arial" w:cs="Arial"/>
              </w:rPr>
            </w:pPr>
            <w:r w:rsidRPr="00F20ABC">
              <w:rPr>
                <w:rFonts w:ascii="Arial" w:hAnsi="Arial" w:cs="Arial"/>
              </w:rPr>
              <w:t>The College structure (in the context of an annual University turnover in excess of £150m) ensures that individual Schools and subjects are not vulnerable to short-term demand or other factors.</w:t>
            </w:r>
          </w:p>
          <w:p w14:paraId="6156702A" w14:textId="63D61EA9" w:rsidR="00456AA6" w:rsidRPr="00F20ABC" w:rsidRDefault="001F1D86" w:rsidP="00CE6464">
            <w:pPr>
              <w:pStyle w:val="ListParagraph"/>
              <w:numPr>
                <w:ilvl w:val="0"/>
                <w:numId w:val="29"/>
              </w:numPr>
              <w:spacing w:after="0"/>
              <w:ind w:left="791"/>
              <w:jc w:val="both"/>
              <w:rPr>
                <w:rFonts w:ascii="Arial" w:hAnsi="Arial" w:cs="Arial"/>
              </w:rPr>
            </w:pPr>
            <w:r w:rsidRPr="00F20ABC">
              <w:rPr>
                <w:rFonts w:ascii="Arial" w:hAnsi="Arial" w:cs="Arial"/>
              </w:rPr>
              <w:t>M</w:t>
            </w:r>
            <w:r w:rsidR="00843E6D" w:rsidRPr="00F20ABC">
              <w:rPr>
                <w:rFonts w:ascii="Arial" w:hAnsi="Arial" w:cs="Arial"/>
              </w:rPr>
              <w:t xml:space="preserve">odules are designed to be taught by integrated teams of academic staff, significantly reducing the risk that </w:t>
            </w:r>
            <w:r w:rsidR="00CE6464">
              <w:rPr>
                <w:rFonts w:ascii="Arial" w:hAnsi="Arial" w:cs="Arial"/>
              </w:rPr>
              <w:t>the University can</w:t>
            </w:r>
            <w:r w:rsidR="00843E6D" w:rsidRPr="00F20ABC">
              <w:rPr>
                <w:rFonts w:ascii="Arial" w:hAnsi="Arial" w:cs="Arial"/>
              </w:rPr>
              <w:t xml:space="preserve"> no longer de</w:t>
            </w:r>
            <w:r w:rsidR="00F12F1D">
              <w:rPr>
                <w:rFonts w:ascii="Arial" w:hAnsi="Arial" w:cs="Arial"/>
              </w:rPr>
              <w:t>liver material components of its</w:t>
            </w:r>
            <w:r w:rsidR="00843E6D" w:rsidRPr="00F20ABC">
              <w:rPr>
                <w:rFonts w:ascii="Arial" w:hAnsi="Arial" w:cs="Arial"/>
              </w:rPr>
              <w:t xml:space="preserve"> programmes.</w:t>
            </w:r>
          </w:p>
          <w:p w14:paraId="2A6D7CFD" w14:textId="3EAC1641" w:rsidR="00176972" w:rsidRPr="00F20ABC" w:rsidRDefault="00176972" w:rsidP="00CE6464">
            <w:pPr>
              <w:pStyle w:val="ListParagraph"/>
              <w:numPr>
                <w:ilvl w:val="0"/>
                <w:numId w:val="29"/>
              </w:numPr>
              <w:spacing w:after="0"/>
              <w:ind w:left="791"/>
              <w:jc w:val="both"/>
              <w:rPr>
                <w:rFonts w:ascii="Arial" w:hAnsi="Arial" w:cs="Arial"/>
              </w:rPr>
            </w:pPr>
            <w:r w:rsidRPr="00F20ABC">
              <w:rPr>
                <w:rFonts w:ascii="Arial" w:hAnsi="Arial" w:cs="Arial"/>
              </w:rPr>
              <w:t>The University has very well established management information systems, factoring in both external information (such as national subject demand trends and forecasts) and internal time series demand analysis</w:t>
            </w:r>
            <w:r w:rsidR="001F1D86" w:rsidRPr="00F20ABC">
              <w:rPr>
                <w:rFonts w:ascii="Arial" w:hAnsi="Arial" w:cs="Arial"/>
              </w:rPr>
              <w:t xml:space="preserve">. This informs an annual planning exercise, which reviews, on a “balanced scorecard” basis, the overall health of individual subject areas and agrees action plans; </w:t>
            </w:r>
            <w:r w:rsidRPr="00F20ABC">
              <w:rPr>
                <w:rFonts w:ascii="Arial" w:hAnsi="Arial" w:cs="Arial"/>
              </w:rPr>
              <w:t>accordingly, on the rare occasion</w:t>
            </w:r>
            <w:r w:rsidR="001F1D86" w:rsidRPr="00F20ABC">
              <w:rPr>
                <w:rFonts w:ascii="Arial" w:hAnsi="Arial" w:cs="Arial"/>
              </w:rPr>
              <w:t>s</w:t>
            </w:r>
            <w:r w:rsidRPr="00F20ABC">
              <w:rPr>
                <w:rFonts w:ascii="Arial" w:hAnsi="Arial" w:cs="Arial"/>
              </w:rPr>
              <w:t xml:space="preserve"> that the University determines to </w:t>
            </w:r>
            <w:r w:rsidR="001F1D86" w:rsidRPr="00F20ABC">
              <w:rPr>
                <w:rFonts w:ascii="Arial" w:hAnsi="Arial" w:cs="Arial"/>
              </w:rPr>
              <w:t xml:space="preserve">discontinue a programme or </w:t>
            </w:r>
            <w:r w:rsidRPr="00F20ABC">
              <w:rPr>
                <w:rFonts w:ascii="Arial" w:hAnsi="Arial" w:cs="Arial"/>
              </w:rPr>
              <w:t xml:space="preserve">exit a </w:t>
            </w:r>
            <w:r w:rsidR="001F1D86" w:rsidRPr="00F20ABC">
              <w:rPr>
                <w:rFonts w:ascii="Arial" w:hAnsi="Arial" w:cs="Arial"/>
              </w:rPr>
              <w:t>s</w:t>
            </w:r>
            <w:r w:rsidRPr="00F20ABC">
              <w:rPr>
                <w:rFonts w:ascii="Arial" w:hAnsi="Arial" w:cs="Arial"/>
              </w:rPr>
              <w:t xml:space="preserve">ubject area, the </w:t>
            </w:r>
            <w:r w:rsidR="001F1D86" w:rsidRPr="00F20ABC">
              <w:rPr>
                <w:rFonts w:ascii="Arial" w:hAnsi="Arial" w:cs="Arial"/>
              </w:rPr>
              <w:t>implications will normally be considered</w:t>
            </w:r>
            <w:r w:rsidRPr="00F20ABC">
              <w:rPr>
                <w:rFonts w:ascii="Arial" w:hAnsi="Arial" w:cs="Arial"/>
              </w:rPr>
              <w:t xml:space="preserve"> </w:t>
            </w:r>
            <w:r w:rsidR="0066224C" w:rsidRPr="00F20ABC">
              <w:rPr>
                <w:rFonts w:ascii="Arial" w:hAnsi="Arial" w:cs="Arial"/>
              </w:rPr>
              <w:t>some</w:t>
            </w:r>
            <w:r w:rsidRPr="00F20ABC">
              <w:rPr>
                <w:rFonts w:ascii="Arial" w:hAnsi="Arial" w:cs="Arial"/>
              </w:rPr>
              <w:t xml:space="preserve"> years in advance.</w:t>
            </w:r>
          </w:p>
          <w:p w14:paraId="051B6D3E" w14:textId="1566D0B8" w:rsidR="00176972" w:rsidRPr="00F20ABC" w:rsidRDefault="00176972" w:rsidP="00CE6464">
            <w:pPr>
              <w:pStyle w:val="ListParagraph"/>
              <w:numPr>
                <w:ilvl w:val="0"/>
                <w:numId w:val="29"/>
              </w:numPr>
              <w:spacing w:after="0"/>
              <w:ind w:left="791"/>
              <w:jc w:val="both"/>
              <w:rPr>
                <w:rFonts w:ascii="Arial" w:hAnsi="Arial" w:cs="Arial"/>
              </w:rPr>
            </w:pPr>
            <w:r w:rsidRPr="00F20ABC">
              <w:rPr>
                <w:rFonts w:ascii="Arial" w:hAnsi="Arial" w:cs="Arial"/>
              </w:rPr>
              <w:t xml:space="preserve">The University has an established practice, supported by </w:t>
            </w:r>
            <w:r w:rsidR="001F4382" w:rsidRPr="00F20ABC">
              <w:rPr>
                <w:rFonts w:ascii="Arial" w:hAnsi="Arial" w:cs="Arial"/>
              </w:rPr>
              <w:t>our</w:t>
            </w:r>
            <w:r w:rsidRPr="00F20ABC">
              <w:rPr>
                <w:rFonts w:ascii="Arial" w:hAnsi="Arial" w:cs="Arial"/>
              </w:rPr>
              <w:t xml:space="preserve"> "</w:t>
            </w:r>
            <w:r w:rsidR="006B024F" w:rsidRPr="00F20ABC">
              <w:rPr>
                <w:rFonts w:ascii="Arial" w:hAnsi="Arial" w:cs="Arial"/>
              </w:rPr>
              <w:t>Programme Closure, Suspension and Changes Policy</w:t>
            </w:r>
            <w:r w:rsidRPr="00F20ABC">
              <w:rPr>
                <w:rFonts w:ascii="Arial" w:hAnsi="Arial" w:cs="Arial"/>
              </w:rPr>
              <w:t>"</w:t>
            </w:r>
            <w:r w:rsidR="006B024F" w:rsidRPr="00F20ABC">
              <w:rPr>
                <w:rFonts w:ascii="Arial" w:hAnsi="Arial" w:cs="Arial"/>
              </w:rPr>
              <w:t xml:space="preserve"> (last updated February 2016)</w:t>
            </w:r>
            <w:r w:rsidRPr="00F20ABC">
              <w:rPr>
                <w:rFonts w:ascii="Arial" w:hAnsi="Arial" w:cs="Arial"/>
              </w:rPr>
              <w:t>, which ensures</w:t>
            </w:r>
            <w:r w:rsidR="001F1D86" w:rsidRPr="00F20ABC">
              <w:rPr>
                <w:rFonts w:ascii="Arial" w:hAnsi="Arial" w:cs="Arial"/>
              </w:rPr>
              <w:t>, amongst other things,</w:t>
            </w:r>
            <w:r w:rsidRPr="00F20ABC">
              <w:rPr>
                <w:rFonts w:ascii="Arial" w:hAnsi="Arial" w:cs="Arial"/>
              </w:rPr>
              <w:t xml:space="preserve"> that all students are taught out in the event of a subject or programme closure.</w:t>
            </w:r>
          </w:p>
          <w:p w14:paraId="2E21E279" w14:textId="362B1057" w:rsidR="00176972" w:rsidRPr="00F20ABC" w:rsidRDefault="001F1D86" w:rsidP="00CE6464">
            <w:pPr>
              <w:pStyle w:val="ListParagraph"/>
              <w:numPr>
                <w:ilvl w:val="0"/>
                <w:numId w:val="29"/>
              </w:numPr>
              <w:spacing w:after="0"/>
              <w:ind w:left="791"/>
              <w:jc w:val="both"/>
              <w:rPr>
                <w:rFonts w:ascii="Arial" w:hAnsi="Arial" w:cs="Arial"/>
              </w:rPr>
            </w:pPr>
            <w:r w:rsidRPr="00F20ABC">
              <w:rPr>
                <w:rFonts w:ascii="Arial" w:hAnsi="Arial" w:cs="Arial"/>
              </w:rPr>
              <w:t>When entering into new subject areas, the University ensures that a minimum staffing complement is appointed, to avoid excessive reliance on a single individual.</w:t>
            </w:r>
          </w:p>
          <w:p w14:paraId="57FBB82C" w14:textId="5FFCA146" w:rsidR="003050C6" w:rsidRPr="00F20ABC" w:rsidRDefault="003050C6" w:rsidP="00CE6464">
            <w:pPr>
              <w:pStyle w:val="ListParagraph"/>
              <w:numPr>
                <w:ilvl w:val="0"/>
                <w:numId w:val="0"/>
              </w:numPr>
              <w:spacing w:after="0"/>
              <w:ind w:left="360"/>
              <w:jc w:val="both"/>
              <w:rPr>
                <w:rFonts w:cs="Arial"/>
              </w:rPr>
            </w:pPr>
          </w:p>
          <w:p w14:paraId="6DAF7351" w14:textId="3433B192" w:rsidR="001F1D86" w:rsidRPr="00F20ABC" w:rsidRDefault="001F1D86" w:rsidP="00CE6464">
            <w:pPr>
              <w:pStyle w:val="ListParagraph"/>
              <w:numPr>
                <w:ilvl w:val="0"/>
                <w:numId w:val="28"/>
              </w:numPr>
              <w:spacing w:after="0"/>
              <w:ind w:left="366" w:hanging="284"/>
              <w:jc w:val="both"/>
              <w:rPr>
                <w:rFonts w:ascii="Arial" w:hAnsi="Arial" w:cs="Arial"/>
                <w:b/>
              </w:rPr>
            </w:pPr>
            <w:r w:rsidRPr="00F20ABC">
              <w:rPr>
                <w:rFonts w:ascii="Arial" w:hAnsi="Arial" w:cs="Arial"/>
                <w:b/>
              </w:rPr>
              <w:t>There is a low risk that the University is no longer able to deliver one or more modes of study to students.</w:t>
            </w:r>
          </w:p>
          <w:p w14:paraId="79C3F589" w14:textId="270FAAEB" w:rsidR="001F1D86" w:rsidRPr="00F20ABC" w:rsidRDefault="00E240F9" w:rsidP="00CE6464">
            <w:pPr>
              <w:pStyle w:val="ListParagraph"/>
              <w:numPr>
                <w:ilvl w:val="0"/>
                <w:numId w:val="0"/>
              </w:numPr>
              <w:spacing w:after="0"/>
              <w:ind w:left="366"/>
              <w:jc w:val="both"/>
              <w:rPr>
                <w:rFonts w:ascii="Arial" w:hAnsi="Arial" w:cs="Arial"/>
              </w:rPr>
            </w:pPr>
            <w:r w:rsidRPr="00F20ABC">
              <w:rPr>
                <w:rFonts w:ascii="Arial" w:hAnsi="Arial" w:cs="Arial"/>
              </w:rPr>
              <w:t>The University, when determining to make an offer for a work-based, distance learning or part-time mode for a course does so in the full knowledge that such a decision commits it to offering that mode until all of the students have completed. The same mitigation applies as to course closure.</w:t>
            </w:r>
          </w:p>
          <w:p w14:paraId="50462B8E" w14:textId="77777777" w:rsidR="00E240F9" w:rsidRPr="00F20ABC" w:rsidRDefault="00E240F9" w:rsidP="00CE6464">
            <w:pPr>
              <w:pStyle w:val="ListParagraph"/>
              <w:numPr>
                <w:ilvl w:val="0"/>
                <w:numId w:val="0"/>
              </w:numPr>
              <w:spacing w:after="0"/>
              <w:ind w:left="366"/>
              <w:jc w:val="both"/>
              <w:rPr>
                <w:rFonts w:ascii="Arial" w:hAnsi="Arial" w:cs="Arial"/>
                <w:b/>
              </w:rPr>
            </w:pPr>
          </w:p>
          <w:p w14:paraId="1C9A027E" w14:textId="17EB9BD2" w:rsidR="00E240F9" w:rsidRPr="00F20ABC" w:rsidRDefault="00E240F9" w:rsidP="00CE6464">
            <w:pPr>
              <w:pStyle w:val="ListParagraph"/>
              <w:numPr>
                <w:ilvl w:val="0"/>
                <w:numId w:val="28"/>
              </w:numPr>
              <w:spacing w:after="0"/>
              <w:ind w:left="366" w:hanging="284"/>
              <w:jc w:val="both"/>
              <w:rPr>
                <w:rFonts w:ascii="Arial" w:hAnsi="Arial" w:cs="Arial"/>
                <w:b/>
              </w:rPr>
            </w:pPr>
            <w:r w:rsidRPr="00F20ABC">
              <w:rPr>
                <w:rFonts w:ascii="Arial" w:hAnsi="Arial" w:cs="Arial"/>
                <w:b/>
              </w:rPr>
              <w:t>There is a low/medium risk that the University</w:t>
            </w:r>
            <w:r w:rsidR="00A7180F" w:rsidRPr="00F20ABC">
              <w:rPr>
                <w:rFonts w:ascii="Arial" w:hAnsi="Arial" w:cs="Arial"/>
                <w:b/>
              </w:rPr>
              <w:t xml:space="preserve">’s Tier 4 </w:t>
            </w:r>
            <w:r w:rsidRPr="00F20ABC">
              <w:rPr>
                <w:rFonts w:ascii="Arial" w:hAnsi="Arial" w:cs="Arial"/>
                <w:b/>
              </w:rPr>
              <w:t xml:space="preserve">sponsor licence </w:t>
            </w:r>
            <w:r w:rsidR="00A7180F" w:rsidRPr="00F20ABC">
              <w:rPr>
                <w:rFonts w:ascii="Arial" w:hAnsi="Arial" w:cs="Arial"/>
                <w:b/>
              </w:rPr>
              <w:t xml:space="preserve">is revoked, resulting in </w:t>
            </w:r>
            <w:r w:rsidR="0066224C" w:rsidRPr="00F20ABC">
              <w:rPr>
                <w:rFonts w:ascii="Arial" w:hAnsi="Arial" w:cs="Arial"/>
                <w:b/>
              </w:rPr>
              <w:t>our</w:t>
            </w:r>
            <w:r w:rsidR="00A7180F" w:rsidRPr="00F20ABC">
              <w:rPr>
                <w:rFonts w:ascii="Arial" w:hAnsi="Arial" w:cs="Arial"/>
                <w:b/>
              </w:rPr>
              <w:t xml:space="preserve"> being </w:t>
            </w:r>
            <w:r w:rsidRPr="00F20ABC">
              <w:rPr>
                <w:rFonts w:ascii="Arial" w:hAnsi="Arial" w:cs="Arial"/>
                <w:b/>
              </w:rPr>
              <w:t>unable to meet commitments to potential international student</w:t>
            </w:r>
            <w:r w:rsidR="00A7180F" w:rsidRPr="00F20ABC">
              <w:rPr>
                <w:rFonts w:ascii="Arial" w:hAnsi="Arial" w:cs="Arial"/>
                <w:b/>
              </w:rPr>
              <w:t>s</w:t>
            </w:r>
            <w:r w:rsidRPr="00F20ABC">
              <w:rPr>
                <w:rFonts w:ascii="Arial" w:hAnsi="Arial" w:cs="Arial"/>
                <w:b/>
              </w:rPr>
              <w:t xml:space="preserve"> or to teach out international existing international students.</w:t>
            </w:r>
          </w:p>
          <w:p w14:paraId="055597F2" w14:textId="0EEAD380" w:rsidR="00E240F9" w:rsidRPr="00F20ABC" w:rsidRDefault="005C582A" w:rsidP="00CE6464">
            <w:pPr>
              <w:pStyle w:val="ListParagraph"/>
              <w:numPr>
                <w:ilvl w:val="0"/>
                <w:numId w:val="0"/>
              </w:numPr>
              <w:spacing w:after="0"/>
              <w:ind w:left="366"/>
              <w:jc w:val="both"/>
              <w:rPr>
                <w:rFonts w:ascii="Arial" w:hAnsi="Arial" w:cs="Arial"/>
              </w:rPr>
            </w:pPr>
            <w:r w:rsidRPr="00F20ABC">
              <w:rPr>
                <w:rFonts w:ascii="Arial" w:hAnsi="Arial" w:cs="Arial"/>
              </w:rPr>
              <w:t xml:space="preserve">In 2017/18, there were </w:t>
            </w:r>
            <w:r w:rsidR="008A1A67" w:rsidRPr="00F20ABC">
              <w:rPr>
                <w:rFonts w:ascii="Arial" w:hAnsi="Arial" w:cs="Arial"/>
              </w:rPr>
              <w:t>in excess of</w:t>
            </w:r>
            <w:r w:rsidR="0066224C" w:rsidRPr="00F20ABC">
              <w:rPr>
                <w:rFonts w:ascii="Arial" w:hAnsi="Arial" w:cs="Arial"/>
              </w:rPr>
              <w:t xml:space="preserve"> </w:t>
            </w:r>
            <w:r w:rsidRPr="00F20ABC">
              <w:rPr>
                <w:rFonts w:ascii="Arial" w:hAnsi="Arial" w:cs="Arial"/>
              </w:rPr>
              <w:t>1000 international students enrolled at the University</w:t>
            </w:r>
            <w:r w:rsidR="00A7180F" w:rsidRPr="00F20ABC">
              <w:rPr>
                <w:rFonts w:ascii="Arial" w:hAnsi="Arial" w:cs="Arial"/>
              </w:rPr>
              <w:t>, whom the University had sponsored for a Tier 4 student visa. Previous experience in the sector suggests that, were the licence to be revoked, the University would not be permitted to deliver on its commitments and to teach out the students concerned.</w:t>
            </w:r>
          </w:p>
          <w:p w14:paraId="5CF258D6" w14:textId="5846E262" w:rsidR="00A7180F" w:rsidRPr="00F20ABC" w:rsidRDefault="00A7180F" w:rsidP="00CE6464">
            <w:pPr>
              <w:pStyle w:val="ListParagraph"/>
              <w:numPr>
                <w:ilvl w:val="0"/>
                <w:numId w:val="0"/>
              </w:numPr>
              <w:spacing w:after="0"/>
              <w:ind w:left="366"/>
              <w:jc w:val="both"/>
              <w:rPr>
                <w:rFonts w:ascii="Arial" w:hAnsi="Arial" w:cs="Arial"/>
                <w:sz w:val="8"/>
                <w:szCs w:val="8"/>
              </w:rPr>
            </w:pPr>
          </w:p>
          <w:p w14:paraId="5CC54FAC" w14:textId="77777777" w:rsidR="00FF01D4" w:rsidRDefault="00FF01D4" w:rsidP="00CE6464">
            <w:pPr>
              <w:pStyle w:val="ListParagraph"/>
              <w:numPr>
                <w:ilvl w:val="0"/>
                <w:numId w:val="0"/>
              </w:numPr>
              <w:spacing w:after="0"/>
              <w:ind w:left="366"/>
              <w:jc w:val="both"/>
              <w:rPr>
                <w:rFonts w:ascii="Arial" w:hAnsi="Arial" w:cs="Arial"/>
              </w:rPr>
            </w:pPr>
          </w:p>
          <w:p w14:paraId="188E4E62" w14:textId="77777777" w:rsidR="00FF01D4" w:rsidRDefault="00FF01D4" w:rsidP="00CE6464">
            <w:pPr>
              <w:pStyle w:val="ListParagraph"/>
              <w:numPr>
                <w:ilvl w:val="0"/>
                <w:numId w:val="0"/>
              </w:numPr>
              <w:spacing w:after="0"/>
              <w:ind w:left="366"/>
              <w:jc w:val="both"/>
              <w:rPr>
                <w:rFonts w:ascii="Arial" w:hAnsi="Arial" w:cs="Arial"/>
              </w:rPr>
            </w:pPr>
          </w:p>
          <w:p w14:paraId="4C469F9C" w14:textId="77777777" w:rsidR="00A7180F" w:rsidRPr="00F20ABC" w:rsidRDefault="00A7180F" w:rsidP="00CE6464">
            <w:pPr>
              <w:pStyle w:val="ListParagraph"/>
              <w:numPr>
                <w:ilvl w:val="0"/>
                <w:numId w:val="0"/>
              </w:numPr>
              <w:spacing w:after="0"/>
              <w:ind w:left="366"/>
              <w:jc w:val="both"/>
              <w:rPr>
                <w:rFonts w:ascii="Arial" w:hAnsi="Arial" w:cs="Arial"/>
              </w:rPr>
            </w:pPr>
            <w:r w:rsidRPr="00F20ABC">
              <w:rPr>
                <w:rFonts w:ascii="Arial" w:hAnsi="Arial" w:cs="Arial"/>
              </w:rPr>
              <w:lastRenderedPageBreak/>
              <w:t>The risk is mitigated as follows:</w:t>
            </w:r>
          </w:p>
          <w:p w14:paraId="32679EDF" w14:textId="4C661244" w:rsidR="00A7180F" w:rsidRPr="00F20ABC" w:rsidRDefault="00A7180F" w:rsidP="00CE6464">
            <w:pPr>
              <w:pStyle w:val="ListParagraph"/>
              <w:numPr>
                <w:ilvl w:val="0"/>
                <w:numId w:val="0"/>
              </w:numPr>
              <w:spacing w:after="0"/>
              <w:ind w:left="366"/>
              <w:jc w:val="both"/>
              <w:rPr>
                <w:rFonts w:ascii="Arial" w:hAnsi="Arial" w:cs="Arial"/>
                <w:sz w:val="8"/>
                <w:szCs w:val="8"/>
              </w:rPr>
            </w:pPr>
          </w:p>
          <w:p w14:paraId="6E811BDC" w14:textId="7BA6268D" w:rsidR="00A7180F" w:rsidRPr="00F20ABC" w:rsidRDefault="002B6B8F" w:rsidP="00CE6464">
            <w:pPr>
              <w:pStyle w:val="ListParagraph"/>
              <w:numPr>
                <w:ilvl w:val="0"/>
                <w:numId w:val="29"/>
              </w:numPr>
              <w:spacing w:after="0"/>
              <w:ind w:left="791"/>
              <w:jc w:val="both"/>
              <w:rPr>
                <w:rFonts w:ascii="Arial" w:hAnsi="Arial" w:cs="Arial"/>
              </w:rPr>
            </w:pPr>
            <w:r w:rsidRPr="00F20ABC">
              <w:rPr>
                <w:rFonts w:ascii="Arial" w:hAnsi="Arial" w:cs="Arial"/>
              </w:rPr>
              <w:t xml:space="preserve">The University </w:t>
            </w:r>
            <w:r w:rsidR="0066224C" w:rsidRPr="00F20ABC">
              <w:rPr>
                <w:rFonts w:ascii="Arial" w:hAnsi="Arial" w:cs="Arial"/>
              </w:rPr>
              <w:t xml:space="preserve">continues to </w:t>
            </w:r>
            <w:r w:rsidRPr="00F20ABC">
              <w:rPr>
                <w:rFonts w:ascii="Arial" w:hAnsi="Arial" w:cs="Arial"/>
              </w:rPr>
              <w:t>dedicated</w:t>
            </w:r>
            <w:r w:rsidR="00A7180F" w:rsidRPr="00F20ABC">
              <w:rPr>
                <w:rFonts w:ascii="Arial" w:hAnsi="Arial" w:cs="Arial"/>
              </w:rPr>
              <w:t xml:space="preserve"> resource</w:t>
            </w:r>
            <w:r w:rsidR="0066224C" w:rsidRPr="00F20ABC">
              <w:rPr>
                <w:rFonts w:ascii="Arial" w:hAnsi="Arial" w:cs="Arial"/>
              </w:rPr>
              <w:t xml:space="preserve"> in this area, </w:t>
            </w:r>
            <w:r w:rsidR="00A7180F" w:rsidRPr="00F20ABC">
              <w:rPr>
                <w:rFonts w:ascii="Arial" w:hAnsi="Arial" w:cs="Arial"/>
              </w:rPr>
              <w:t xml:space="preserve">with an established </w:t>
            </w:r>
            <w:r w:rsidRPr="00F20ABC">
              <w:rPr>
                <w:rFonts w:ascii="Arial" w:hAnsi="Arial" w:cs="Arial"/>
              </w:rPr>
              <w:t>T</w:t>
            </w:r>
            <w:r w:rsidR="00A7180F" w:rsidRPr="00F20ABC">
              <w:rPr>
                <w:rFonts w:ascii="Arial" w:hAnsi="Arial" w:cs="Arial"/>
              </w:rPr>
              <w:t>ier 4 compliance team in place</w:t>
            </w:r>
            <w:r w:rsidR="0066224C" w:rsidRPr="00F20ABC">
              <w:rPr>
                <w:rFonts w:ascii="Arial" w:hAnsi="Arial" w:cs="Arial"/>
              </w:rPr>
              <w:t>,</w:t>
            </w:r>
            <w:r w:rsidRPr="00F20ABC">
              <w:rPr>
                <w:rFonts w:ascii="Arial" w:hAnsi="Arial" w:cs="Arial"/>
              </w:rPr>
              <w:t xml:space="preserve"> who oversee compliance centrally and in Colleges.</w:t>
            </w:r>
          </w:p>
          <w:p w14:paraId="4A27986D" w14:textId="3F0F7CAF" w:rsidR="00A7180F" w:rsidRPr="00F20ABC" w:rsidRDefault="00A7180F" w:rsidP="00CE6464">
            <w:pPr>
              <w:pStyle w:val="ListParagraph"/>
              <w:numPr>
                <w:ilvl w:val="0"/>
                <w:numId w:val="29"/>
              </w:numPr>
              <w:spacing w:after="0"/>
              <w:ind w:left="791"/>
              <w:jc w:val="both"/>
              <w:rPr>
                <w:rFonts w:ascii="Arial" w:hAnsi="Arial" w:cs="Arial"/>
              </w:rPr>
            </w:pPr>
            <w:r w:rsidRPr="00F20ABC">
              <w:rPr>
                <w:rFonts w:ascii="Arial" w:hAnsi="Arial" w:cs="Arial"/>
              </w:rPr>
              <w:t>The University has a well-</w:t>
            </w:r>
            <w:r w:rsidR="002B6B8F" w:rsidRPr="00F20ABC">
              <w:rPr>
                <w:rFonts w:ascii="Arial" w:hAnsi="Arial" w:cs="Arial"/>
              </w:rPr>
              <w:t>established,</w:t>
            </w:r>
            <w:r w:rsidRPr="00F20ABC">
              <w:rPr>
                <w:rFonts w:ascii="Arial" w:hAnsi="Arial" w:cs="Arial"/>
              </w:rPr>
              <w:t xml:space="preserve"> University-wide </w:t>
            </w:r>
            <w:r w:rsidR="0066224C" w:rsidRPr="00F20ABC">
              <w:rPr>
                <w:rFonts w:ascii="Arial" w:hAnsi="Arial" w:cs="Arial"/>
              </w:rPr>
              <w:t>S</w:t>
            </w:r>
            <w:r w:rsidRPr="00F20ABC">
              <w:rPr>
                <w:rFonts w:ascii="Arial" w:hAnsi="Arial" w:cs="Arial"/>
              </w:rPr>
              <w:t xml:space="preserve">tudent </w:t>
            </w:r>
            <w:r w:rsidR="0066224C" w:rsidRPr="00F20ABC">
              <w:rPr>
                <w:rFonts w:ascii="Arial" w:hAnsi="Arial" w:cs="Arial"/>
              </w:rPr>
              <w:t>A</w:t>
            </w:r>
            <w:r w:rsidRPr="00F20ABC">
              <w:rPr>
                <w:rFonts w:ascii="Arial" w:hAnsi="Arial" w:cs="Arial"/>
              </w:rPr>
              <w:t xml:space="preserve">ttendance </w:t>
            </w:r>
            <w:r w:rsidR="0066224C" w:rsidRPr="00F20ABC">
              <w:rPr>
                <w:rFonts w:ascii="Arial" w:hAnsi="Arial" w:cs="Arial"/>
              </w:rPr>
              <w:t>M</w:t>
            </w:r>
            <w:r w:rsidRPr="00F20ABC">
              <w:rPr>
                <w:rFonts w:ascii="Arial" w:hAnsi="Arial" w:cs="Arial"/>
              </w:rPr>
              <w:t xml:space="preserve">onitoring </w:t>
            </w:r>
            <w:r w:rsidR="0066224C" w:rsidRPr="00F20ABC">
              <w:rPr>
                <w:rFonts w:ascii="Arial" w:hAnsi="Arial" w:cs="Arial"/>
              </w:rPr>
              <w:t>&amp;</w:t>
            </w:r>
            <w:r w:rsidRPr="00F20ABC">
              <w:rPr>
                <w:rFonts w:ascii="Arial" w:hAnsi="Arial" w:cs="Arial"/>
              </w:rPr>
              <w:t xml:space="preserve"> </w:t>
            </w:r>
            <w:r w:rsidR="0066224C" w:rsidRPr="00F20ABC">
              <w:rPr>
                <w:rFonts w:ascii="Arial" w:hAnsi="Arial" w:cs="Arial"/>
              </w:rPr>
              <w:t>M</w:t>
            </w:r>
            <w:r w:rsidRPr="00F20ABC">
              <w:rPr>
                <w:rFonts w:ascii="Arial" w:hAnsi="Arial" w:cs="Arial"/>
              </w:rPr>
              <w:t xml:space="preserve">anagement </w:t>
            </w:r>
            <w:r w:rsidR="0066224C" w:rsidRPr="00F20ABC">
              <w:rPr>
                <w:rFonts w:ascii="Arial" w:hAnsi="Arial" w:cs="Arial"/>
              </w:rPr>
              <w:t xml:space="preserve">(SAMM) </w:t>
            </w:r>
            <w:r w:rsidRPr="00F20ABC">
              <w:rPr>
                <w:rFonts w:ascii="Arial" w:hAnsi="Arial" w:cs="Arial"/>
              </w:rPr>
              <w:t>system in place, which</w:t>
            </w:r>
            <w:r w:rsidR="00FC49E7" w:rsidRPr="00F20ABC">
              <w:rPr>
                <w:rFonts w:ascii="Arial" w:hAnsi="Arial" w:cs="Arial"/>
              </w:rPr>
              <w:t xml:space="preserve"> supports the operation of the “Student Engagement &amp; Participation Policy” </w:t>
            </w:r>
            <w:r w:rsidR="00967733" w:rsidRPr="00F20ABC">
              <w:rPr>
                <w:rFonts w:ascii="Arial" w:hAnsi="Arial" w:cs="Arial"/>
              </w:rPr>
              <w:t>(last updated January 2018).</w:t>
            </w:r>
          </w:p>
          <w:p w14:paraId="7A8BEF52" w14:textId="243DF644" w:rsidR="00602ABB" w:rsidRPr="00F20ABC" w:rsidRDefault="00602ABB" w:rsidP="00CE6464">
            <w:pPr>
              <w:pStyle w:val="ListParagraph"/>
              <w:numPr>
                <w:ilvl w:val="0"/>
                <w:numId w:val="29"/>
              </w:numPr>
              <w:spacing w:after="0"/>
              <w:ind w:left="791"/>
              <w:jc w:val="both"/>
              <w:rPr>
                <w:rFonts w:ascii="Arial" w:hAnsi="Arial" w:cs="Arial"/>
              </w:rPr>
            </w:pPr>
            <w:r w:rsidRPr="00F20ABC">
              <w:rPr>
                <w:rFonts w:ascii="Arial" w:hAnsi="Arial" w:cs="Arial"/>
              </w:rPr>
              <w:t xml:space="preserve">The University is signed up to the UKVI “Premium Service” and works closely with </w:t>
            </w:r>
            <w:r w:rsidR="00B0680D" w:rsidRPr="00F20ABC">
              <w:rPr>
                <w:rFonts w:ascii="Arial" w:hAnsi="Arial" w:cs="Arial"/>
              </w:rPr>
              <w:t>its</w:t>
            </w:r>
            <w:r w:rsidRPr="00F20ABC">
              <w:rPr>
                <w:rFonts w:ascii="Arial" w:hAnsi="Arial" w:cs="Arial"/>
              </w:rPr>
              <w:t xml:space="preserve"> UKVI contact.</w:t>
            </w:r>
          </w:p>
          <w:p w14:paraId="000F177F" w14:textId="2CDF5FFC" w:rsidR="00602ABB" w:rsidRPr="00F20ABC" w:rsidRDefault="00602ABB" w:rsidP="00CE6464">
            <w:pPr>
              <w:pStyle w:val="ListParagraph"/>
              <w:numPr>
                <w:ilvl w:val="0"/>
                <w:numId w:val="29"/>
              </w:numPr>
              <w:spacing w:after="0"/>
              <w:ind w:left="791"/>
              <w:jc w:val="both"/>
              <w:rPr>
                <w:rFonts w:ascii="Arial" w:hAnsi="Arial" w:cs="Arial"/>
              </w:rPr>
            </w:pPr>
            <w:r w:rsidRPr="00F20ABC">
              <w:rPr>
                <w:rFonts w:ascii="Arial" w:hAnsi="Arial" w:cs="Arial"/>
              </w:rPr>
              <w:t xml:space="preserve">The University maintains a keen focus </w:t>
            </w:r>
            <w:r w:rsidR="00CE6464">
              <w:rPr>
                <w:rFonts w:ascii="Arial" w:hAnsi="Arial" w:cs="Arial"/>
              </w:rPr>
              <w:t>on UKVI metrics; for example, the</w:t>
            </w:r>
            <w:r w:rsidRPr="00F20ABC">
              <w:rPr>
                <w:rFonts w:ascii="Arial" w:hAnsi="Arial" w:cs="Arial"/>
              </w:rPr>
              <w:t xml:space="preserve"> visa refusal rate has</w:t>
            </w:r>
            <w:r w:rsidR="001A02E4" w:rsidRPr="00F20ABC">
              <w:rPr>
                <w:rFonts w:ascii="Arial" w:hAnsi="Arial" w:cs="Arial"/>
              </w:rPr>
              <w:t>,</w:t>
            </w:r>
            <w:r w:rsidRPr="00F20ABC">
              <w:rPr>
                <w:rFonts w:ascii="Arial" w:hAnsi="Arial" w:cs="Arial"/>
              </w:rPr>
              <w:t xml:space="preserve"> </w:t>
            </w:r>
            <w:r w:rsidR="001A02E4" w:rsidRPr="00F20ABC">
              <w:rPr>
                <w:rFonts w:ascii="Arial" w:hAnsi="Arial" w:cs="Arial"/>
              </w:rPr>
              <w:t xml:space="preserve">for a number of years, </w:t>
            </w:r>
            <w:r w:rsidRPr="00F20ABC">
              <w:rPr>
                <w:rFonts w:ascii="Arial" w:hAnsi="Arial" w:cs="Arial"/>
              </w:rPr>
              <w:t>been maintained at below 5%</w:t>
            </w:r>
            <w:r w:rsidR="001A02E4" w:rsidRPr="00F20ABC">
              <w:rPr>
                <w:rFonts w:ascii="Arial" w:hAnsi="Arial" w:cs="Arial"/>
              </w:rPr>
              <w:t xml:space="preserve"> (</w:t>
            </w:r>
            <w:r w:rsidRPr="00F20ABC">
              <w:rPr>
                <w:rFonts w:ascii="Arial" w:hAnsi="Arial" w:cs="Arial"/>
              </w:rPr>
              <w:t>less than half the maximum permitted by UKVI rules</w:t>
            </w:r>
            <w:r w:rsidR="001A02E4" w:rsidRPr="00F20ABC">
              <w:rPr>
                <w:rFonts w:ascii="Arial" w:hAnsi="Arial" w:cs="Arial"/>
              </w:rPr>
              <w:t>)</w:t>
            </w:r>
            <w:r w:rsidRPr="00F20ABC">
              <w:rPr>
                <w:rFonts w:ascii="Arial" w:hAnsi="Arial" w:cs="Arial"/>
              </w:rPr>
              <w:t>.</w:t>
            </w:r>
          </w:p>
          <w:p w14:paraId="2E70BFF8" w14:textId="5A426C17" w:rsidR="001A02E4" w:rsidRPr="00F20ABC" w:rsidRDefault="001A02E4" w:rsidP="00CE6464">
            <w:pPr>
              <w:pStyle w:val="ListParagraph"/>
              <w:numPr>
                <w:ilvl w:val="0"/>
                <w:numId w:val="29"/>
              </w:numPr>
              <w:spacing w:after="0"/>
              <w:ind w:left="791"/>
              <w:jc w:val="both"/>
              <w:rPr>
                <w:rFonts w:ascii="Arial" w:hAnsi="Arial" w:cs="Arial"/>
              </w:rPr>
            </w:pPr>
            <w:r w:rsidRPr="00F20ABC">
              <w:rPr>
                <w:rFonts w:ascii="Arial" w:hAnsi="Arial" w:cs="Arial"/>
              </w:rPr>
              <w:t>T</w:t>
            </w:r>
            <w:r w:rsidR="003C09C2" w:rsidRPr="00F20ABC">
              <w:rPr>
                <w:rFonts w:ascii="Arial" w:hAnsi="Arial" w:cs="Arial"/>
              </w:rPr>
              <w:t>h</w:t>
            </w:r>
            <w:r w:rsidRPr="00F20ABC">
              <w:rPr>
                <w:rFonts w:ascii="Arial" w:hAnsi="Arial" w:cs="Arial"/>
              </w:rPr>
              <w:t xml:space="preserve">e University </w:t>
            </w:r>
            <w:r w:rsidR="003C09C2" w:rsidRPr="00F20ABC">
              <w:rPr>
                <w:rFonts w:ascii="Arial" w:hAnsi="Arial" w:cs="Arial"/>
              </w:rPr>
              <w:t>w</w:t>
            </w:r>
            <w:r w:rsidRPr="00F20ABC">
              <w:rPr>
                <w:rFonts w:ascii="Arial" w:hAnsi="Arial" w:cs="Arial"/>
              </w:rPr>
              <w:t xml:space="preserve">as subject to </w:t>
            </w:r>
            <w:r w:rsidR="003C09C2" w:rsidRPr="00F20ABC">
              <w:rPr>
                <w:rFonts w:ascii="Arial" w:hAnsi="Arial" w:cs="Arial"/>
              </w:rPr>
              <w:t xml:space="preserve">a </w:t>
            </w:r>
            <w:r w:rsidR="00817DA5" w:rsidRPr="00F20ABC">
              <w:rPr>
                <w:rFonts w:ascii="Arial" w:hAnsi="Arial" w:cs="Arial"/>
              </w:rPr>
              <w:t>Home Office</w:t>
            </w:r>
            <w:r w:rsidRPr="00F20ABC">
              <w:rPr>
                <w:rFonts w:ascii="Arial" w:hAnsi="Arial" w:cs="Arial"/>
              </w:rPr>
              <w:t xml:space="preserve"> </w:t>
            </w:r>
            <w:r w:rsidR="003C09C2" w:rsidRPr="00F20ABC">
              <w:rPr>
                <w:rFonts w:ascii="Arial" w:hAnsi="Arial" w:cs="Arial"/>
              </w:rPr>
              <w:t xml:space="preserve">compliance </w:t>
            </w:r>
            <w:r w:rsidRPr="00F20ABC">
              <w:rPr>
                <w:rFonts w:ascii="Arial" w:hAnsi="Arial" w:cs="Arial"/>
              </w:rPr>
              <w:t>audit</w:t>
            </w:r>
            <w:r w:rsidR="003C09C2" w:rsidRPr="00F20ABC">
              <w:rPr>
                <w:rFonts w:ascii="Arial" w:hAnsi="Arial" w:cs="Arial"/>
              </w:rPr>
              <w:t xml:space="preserve"> in </w:t>
            </w:r>
            <w:r w:rsidR="00817DA5" w:rsidRPr="00F20ABC">
              <w:rPr>
                <w:rFonts w:ascii="Arial" w:hAnsi="Arial" w:cs="Arial"/>
              </w:rPr>
              <w:t>2014, and was considered to be compliant</w:t>
            </w:r>
            <w:r w:rsidR="000938E5" w:rsidRPr="00F20ABC">
              <w:rPr>
                <w:rFonts w:ascii="Arial" w:hAnsi="Arial" w:cs="Arial"/>
              </w:rPr>
              <w:t xml:space="preserve">. A </w:t>
            </w:r>
            <w:r w:rsidR="00817DA5" w:rsidRPr="00F20ABC">
              <w:rPr>
                <w:rFonts w:ascii="Arial" w:hAnsi="Arial" w:cs="Arial"/>
              </w:rPr>
              <w:t>small number of minor recommendations were implemented immediately.</w:t>
            </w:r>
          </w:p>
          <w:p w14:paraId="02D79871" w14:textId="77777777" w:rsidR="00A7180F" w:rsidRPr="00F20ABC" w:rsidRDefault="00A7180F" w:rsidP="00CE6464">
            <w:pPr>
              <w:pStyle w:val="ListParagraph"/>
              <w:numPr>
                <w:ilvl w:val="0"/>
                <w:numId w:val="0"/>
              </w:numPr>
              <w:spacing w:after="0"/>
              <w:ind w:left="366"/>
              <w:jc w:val="both"/>
              <w:rPr>
                <w:rFonts w:ascii="Arial" w:hAnsi="Arial" w:cs="Arial"/>
              </w:rPr>
            </w:pPr>
          </w:p>
          <w:p w14:paraId="081F371F" w14:textId="705374C6" w:rsidR="00817DA5" w:rsidRPr="00F20ABC" w:rsidRDefault="00817DA5" w:rsidP="00CE6464">
            <w:pPr>
              <w:pStyle w:val="ListParagraph"/>
              <w:numPr>
                <w:ilvl w:val="0"/>
                <w:numId w:val="28"/>
              </w:numPr>
              <w:spacing w:after="0"/>
              <w:ind w:left="366" w:hanging="284"/>
              <w:jc w:val="both"/>
              <w:rPr>
                <w:rFonts w:ascii="Arial" w:hAnsi="Arial" w:cs="Arial"/>
                <w:b/>
              </w:rPr>
            </w:pPr>
            <w:r w:rsidRPr="00F20ABC">
              <w:rPr>
                <w:rFonts w:ascii="Arial" w:hAnsi="Arial" w:cs="Arial"/>
                <w:b/>
              </w:rPr>
              <w:t>There is a low/medium risk that a professional body could withdraw their accreditation from a course, impacting deleteriously on current students.</w:t>
            </w:r>
          </w:p>
          <w:p w14:paraId="27D76A73" w14:textId="07394596" w:rsidR="00817DA5" w:rsidRPr="00F20ABC" w:rsidRDefault="00817DA5" w:rsidP="00CE6464">
            <w:pPr>
              <w:pStyle w:val="ListParagraph"/>
              <w:numPr>
                <w:ilvl w:val="0"/>
                <w:numId w:val="0"/>
              </w:numPr>
              <w:spacing w:after="0"/>
              <w:ind w:left="366"/>
              <w:jc w:val="both"/>
              <w:rPr>
                <w:rFonts w:ascii="Arial" w:hAnsi="Arial" w:cs="Arial"/>
              </w:rPr>
            </w:pPr>
            <w:r w:rsidRPr="00F20ABC">
              <w:rPr>
                <w:rFonts w:ascii="Arial" w:hAnsi="Arial" w:cs="Arial"/>
              </w:rPr>
              <w:t xml:space="preserve">The University offers </w:t>
            </w:r>
            <w:r w:rsidR="009A243E" w:rsidRPr="00F20ABC">
              <w:rPr>
                <w:rFonts w:ascii="Arial" w:hAnsi="Arial" w:cs="Arial"/>
              </w:rPr>
              <w:t>in excess of 90</w:t>
            </w:r>
            <w:r w:rsidRPr="00F20ABC">
              <w:rPr>
                <w:rFonts w:ascii="Arial" w:hAnsi="Arial" w:cs="Arial"/>
              </w:rPr>
              <w:t xml:space="preserve"> programmes with professional body accreditation. This accreditation is attractive to students, some of w</w:t>
            </w:r>
            <w:r w:rsidR="002B6B8F" w:rsidRPr="00F20ABC">
              <w:rPr>
                <w:rFonts w:ascii="Arial" w:hAnsi="Arial" w:cs="Arial"/>
              </w:rPr>
              <w:t>hom may not have chosen Lincoln</w:t>
            </w:r>
            <w:r w:rsidRPr="00F20ABC">
              <w:rPr>
                <w:rFonts w:ascii="Arial" w:hAnsi="Arial" w:cs="Arial"/>
              </w:rPr>
              <w:t xml:space="preserve"> were the accreditation not in place. Accreditation is at the discretion of the </w:t>
            </w:r>
            <w:r w:rsidR="002B6B8F" w:rsidRPr="00F20ABC">
              <w:rPr>
                <w:rFonts w:ascii="Arial" w:hAnsi="Arial" w:cs="Arial"/>
              </w:rPr>
              <w:t>relevant professional</w:t>
            </w:r>
            <w:r w:rsidRPr="00F20ABC">
              <w:rPr>
                <w:rFonts w:ascii="Arial" w:hAnsi="Arial" w:cs="Arial"/>
              </w:rPr>
              <w:t xml:space="preserve"> body; accordingly, it </w:t>
            </w:r>
            <w:r w:rsidR="002B6B8F" w:rsidRPr="00F20ABC">
              <w:rPr>
                <w:rFonts w:ascii="Arial" w:hAnsi="Arial" w:cs="Arial"/>
              </w:rPr>
              <w:t>c</w:t>
            </w:r>
            <w:r w:rsidRPr="00F20ABC">
              <w:rPr>
                <w:rFonts w:ascii="Arial" w:hAnsi="Arial" w:cs="Arial"/>
              </w:rPr>
              <w:t>ould be revoked</w:t>
            </w:r>
            <w:r w:rsidR="003E205F" w:rsidRPr="00F20ABC">
              <w:rPr>
                <w:rFonts w:ascii="Arial" w:hAnsi="Arial" w:cs="Arial"/>
              </w:rPr>
              <w:t xml:space="preserve"> were the requirements to change</w:t>
            </w:r>
            <w:r w:rsidRPr="00F20ABC">
              <w:rPr>
                <w:rFonts w:ascii="Arial" w:hAnsi="Arial" w:cs="Arial"/>
              </w:rPr>
              <w:t>.</w:t>
            </w:r>
          </w:p>
          <w:p w14:paraId="1D676A4E" w14:textId="77777777" w:rsidR="00817DA5" w:rsidRPr="00F20ABC" w:rsidRDefault="00817DA5" w:rsidP="00CE6464">
            <w:pPr>
              <w:pStyle w:val="ListParagraph"/>
              <w:numPr>
                <w:ilvl w:val="0"/>
                <w:numId w:val="0"/>
              </w:numPr>
              <w:spacing w:after="0"/>
              <w:ind w:left="366"/>
              <w:jc w:val="both"/>
              <w:rPr>
                <w:rFonts w:ascii="Arial" w:hAnsi="Arial" w:cs="Arial"/>
                <w:sz w:val="8"/>
                <w:szCs w:val="8"/>
              </w:rPr>
            </w:pPr>
          </w:p>
          <w:p w14:paraId="1A44AAAC" w14:textId="77777777" w:rsidR="00817DA5" w:rsidRPr="00F20ABC" w:rsidRDefault="00817DA5" w:rsidP="00CE6464">
            <w:pPr>
              <w:pStyle w:val="ListParagraph"/>
              <w:numPr>
                <w:ilvl w:val="0"/>
                <w:numId w:val="0"/>
              </w:numPr>
              <w:spacing w:after="0"/>
              <w:ind w:left="366"/>
              <w:jc w:val="both"/>
              <w:rPr>
                <w:rFonts w:ascii="Arial" w:hAnsi="Arial" w:cs="Arial"/>
              </w:rPr>
            </w:pPr>
            <w:r w:rsidRPr="00F20ABC">
              <w:rPr>
                <w:rFonts w:ascii="Arial" w:hAnsi="Arial" w:cs="Arial"/>
              </w:rPr>
              <w:t>This risk is mitigated as follows:</w:t>
            </w:r>
          </w:p>
          <w:p w14:paraId="57544D1E" w14:textId="77777777" w:rsidR="00817DA5" w:rsidRPr="00F20ABC" w:rsidRDefault="00817DA5" w:rsidP="00CE6464">
            <w:pPr>
              <w:pStyle w:val="ListParagraph"/>
              <w:numPr>
                <w:ilvl w:val="0"/>
                <w:numId w:val="0"/>
              </w:numPr>
              <w:spacing w:after="0"/>
              <w:ind w:left="366"/>
              <w:jc w:val="both"/>
              <w:rPr>
                <w:rFonts w:ascii="Arial" w:hAnsi="Arial" w:cs="Arial"/>
                <w:sz w:val="8"/>
                <w:szCs w:val="8"/>
              </w:rPr>
            </w:pPr>
          </w:p>
          <w:p w14:paraId="0D0DF953" w14:textId="10721453" w:rsidR="00817DA5" w:rsidRPr="00F20ABC" w:rsidRDefault="00817DA5" w:rsidP="00CE6464">
            <w:pPr>
              <w:pStyle w:val="ListParagraph"/>
              <w:numPr>
                <w:ilvl w:val="0"/>
                <w:numId w:val="29"/>
              </w:numPr>
              <w:spacing w:after="0"/>
              <w:ind w:left="791"/>
              <w:jc w:val="both"/>
              <w:rPr>
                <w:rFonts w:ascii="Arial" w:hAnsi="Arial" w:cs="Arial"/>
              </w:rPr>
            </w:pPr>
            <w:r w:rsidRPr="00F20ABC">
              <w:rPr>
                <w:rFonts w:ascii="Arial" w:hAnsi="Arial" w:cs="Arial"/>
              </w:rPr>
              <w:t>Each professional body accreditation</w:t>
            </w:r>
            <w:r w:rsidR="003E205F" w:rsidRPr="00F20ABC">
              <w:rPr>
                <w:rFonts w:ascii="Arial" w:hAnsi="Arial" w:cs="Arial"/>
              </w:rPr>
              <w:t xml:space="preserve"> is managed directly through</w:t>
            </w:r>
            <w:r w:rsidRPr="00F20ABC">
              <w:rPr>
                <w:rFonts w:ascii="Arial" w:hAnsi="Arial" w:cs="Arial"/>
              </w:rPr>
              <w:t xml:space="preserve"> the </w:t>
            </w:r>
            <w:r w:rsidR="003E205F" w:rsidRPr="00F20ABC">
              <w:rPr>
                <w:rFonts w:ascii="Arial" w:hAnsi="Arial" w:cs="Arial"/>
              </w:rPr>
              <w:t>relevant</w:t>
            </w:r>
            <w:r w:rsidRPr="00F20ABC">
              <w:rPr>
                <w:rFonts w:ascii="Arial" w:hAnsi="Arial" w:cs="Arial"/>
              </w:rPr>
              <w:t xml:space="preserve"> School/Dep</w:t>
            </w:r>
            <w:r w:rsidR="00CE6464">
              <w:rPr>
                <w:rFonts w:ascii="Arial" w:hAnsi="Arial" w:cs="Arial"/>
              </w:rPr>
              <w:t>artmen</w:t>
            </w:r>
            <w:r w:rsidRPr="00F20ABC">
              <w:rPr>
                <w:rFonts w:ascii="Arial" w:hAnsi="Arial" w:cs="Arial"/>
              </w:rPr>
              <w:t>t and College</w:t>
            </w:r>
            <w:r w:rsidR="009A7991" w:rsidRPr="00F20ABC">
              <w:rPr>
                <w:rFonts w:ascii="Arial" w:hAnsi="Arial" w:cs="Arial"/>
              </w:rPr>
              <w:t>,</w:t>
            </w:r>
            <w:r w:rsidR="003E205F" w:rsidRPr="00F20ABC">
              <w:rPr>
                <w:rFonts w:ascii="Arial" w:hAnsi="Arial" w:cs="Arial"/>
              </w:rPr>
              <w:t xml:space="preserve"> who are in close contact with the requirements of the relevant organisation and can “future proof” programmes</w:t>
            </w:r>
            <w:r w:rsidRPr="00F20ABC">
              <w:rPr>
                <w:rFonts w:ascii="Arial" w:hAnsi="Arial" w:cs="Arial"/>
              </w:rPr>
              <w:t>.</w:t>
            </w:r>
          </w:p>
          <w:p w14:paraId="6C22A6A3" w14:textId="2E6AD974" w:rsidR="00817DA5" w:rsidRPr="00F20ABC" w:rsidRDefault="00817DA5" w:rsidP="00CE6464">
            <w:pPr>
              <w:pStyle w:val="ListParagraph"/>
              <w:numPr>
                <w:ilvl w:val="0"/>
                <w:numId w:val="29"/>
              </w:numPr>
              <w:spacing w:after="0"/>
              <w:ind w:left="791"/>
              <w:jc w:val="both"/>
              <w:rPr>
                <w:rFonts w:ascii="Arial" w:hAnsi="Arial" w:cs="Arial"/>
              </w:rPr>
            </w:pPr>
            <w:r w:rsidRPr="00F20ABC">
              <w:rPr>
                <w:rFonts w:ascii="Arial" w:hAnsi="Arial" w:cs="Arial"/>
              </w:rPr>
              <w:t xml:space="preserve">Reaccreditation exercises are undertaken </w:t>
            </w:r>
            <w:r w:rsidR="003E205F" w:rsidRPr="00F20ABC">
              <w:rPr>
                <w:rFonts w:ascii="Arial" w:hAnsi="Arial" w:cs="Arial"/>
              </w:rPr>
              <w:t>as required by the relevant professional body</w:t>
            </w:r>
            <w:r w:rsidRPr="00F20ABC">
              <w:rPr>
                <w:rFonts w:ascii="Arial" w:hAnsi="Arial" w:cs="Arial"/>
              </w:rPr>
              <w:t>.</w:t>
            </w:r>
          </w:p>
          <w:p w14:paraId="75628958" w14:textId="2AE9F74D" w:rsidR="00817DA5" w:rsidRPr="00F20ABC" w:rsidRDefault="00817DA5" w:rsidP="00CE6464">
            <w:pPr>
              <w:pStyle w:val="ListParagraph"/>
              <w:numPr>
                <w:ilvl w:val="0"/>
                <w:numId w:val="29"/>
              </w:numPr>
              <w:spacing w:after="0"/>
              <w:ind w:left="791"/>
              <w:jc w:val="both"/>
              <w:rPr>
                <w:rFonts w:ascii="Arial" w:hAnsi="Arial" w:cs="Arial"/>
              </w:rPr>
            </w:pPr>
            <w:r w:rsidRPr="00F20ABC">
              <w:rPr>
                <w:rFonts w:ascii="Arial" w:hAnsi="Arial" w:cs="Arial"/>
              </w:rPr>
              <w:t xml:space="preserve">Professional bodies will normally require action plans to address </w:t>
            </w:r>
            <w:r w:rsidR="003E205F" w:rsidRPr="00F20ABC">
              <w:rPr>
                <w:rFonts w:ascii="Arial" w:hAnsi="Arial" w:cs="Arial"/>
              </w:rPr>
              <w:t xml:space="preserve">concerns or </w:t>
            </w:r>
            <w:r w:rsidRPr="00F20ABC">
              <w:rPr>
                <w:rFonts w:ascii="Arial" w:hAnsi="Arial" w:cs="Arial"/>
              </w:rPr>
              <w:t>recommendations</w:t>
            </w:r>
            <w:r w:rsidR="003E205F" w:rsidRPr="00F20ABC">
              <w:rPr>
                <w:rFonts w:ascii="Arial" w:hAnsi="Arial" w:cs="Arial"/>
              </w:rPr>
              <w:t xml:space="preserve"> as they arise</w:t>
            </w:r>
            <w:r w:rsidRPr="00F20ABC">
              <w:rPr>
                <w:rFonts w:ascii="Arial" w:hAnsi="Arial" w:cs="Arial"/>
              </w:rPr>
              <w:t>, as opposed to immediate revocation.</w:t>
            </w:r>
          </w:p>
          <w:p w14:paraId="77368AEF" w14:textId="45EA5171" w:rsidR="00817DA5" w:rsidRPr="00F20ABC" w:rsidRDefault="00817DA5" w:rsidP="00CE6464">
            <w:pPr>
              <w:pStyle w:val="ListParagraph"/>
              <w:numPr>
                <w:ilvl w:val="0"/>
                <w:numId w:val="29"/>
              </w:numPr>
              <w:spacing w:after="0"/>
              <w:ind w:left="791"/>
              <w:jc w:val="both"/>
              <w:rPr>
                <w:rFonts w:ascii="Arial" w:hAnsi="Arial" w:cs="Arial"/>
              </w:rPr>
            </w:pPr>
            <w:r w:rsidRPr="00F20ABC">
              <w:rPr>
                <w:rFonts w:ascii="Arial" w:hAnsi="Arial" w:cs="Arial"/>
              </w:rPr>
              <w:t>The outcomes of accreditation and reaccreditation exercises are reported to the Academic Affairs Committee, which has University oversight in this area and will ensure that any recommendations are addressed and action plans developed and delivered upon.</w:t>
            </w:r>
          </w:p>
          <w:p w14:paraId="06014EBF" w14:textId="77777777" w:rsidR="005125C9" w:rsidRPr="00413E69" w:rsidRDefault="00817DA5" w:rsidP="00CE6464">
            <w:pPr>
              <w:pStyle w:val="ListParagraph"/>
              <w:numPr>
                <w:ilvl w:val="0"/>
                <w:numId w:val="29"/>
              </w:numPr>
              <w:spacing w:after="0"/>
              <w:ind w:left="791"/>
              <w:jc w:val="both"/>
              <w:rPr>
                <w:rFonts w:cs="Arial"/>
                <w:i/>
              </w:rPr>
            </w:pPr>
            <w:r w:rsidRPr="00F20ABC">
              <w:rPr>
                <w:rFonts w:ascii="Arial" w:hAnsi="Arial" w:cs="Arial"/>
              </w:rPr>
              <w:t>No professional body has, hitherto</w:t>
            </w:r>
            <w:r w:rsidR="004230ED" w:rsidRPr="00F20ABC">
              <w:rPr>
                <w:rFonts w:ascii="Arial" w:hAnsi="Arial" w:cs="Arial"/>
              </w:rPr>
              <w:t>, revoked accreditation of a University of Lincoln programme of study; rather, additional accreditations have been secured in recent years.</w:t>
            </w:r>
          </w:p>
          <w:p w14:paraId="08DF856C" w14:textId="4B1369EF" w:rsidR="00413E69" w:rsidRPr="00413E69" w:rsidRDefault="00413E69" w:rsidP="00413E69">
            <w:pPr>
              <w:ind w:left="431"/>
              <w:jc w:val="both"/>
              <w:rPr>
                <w:rFonts w:cs="Arial"/>
                <w:i/>
              </w:rPr>
            </w:pPr>
          </w:p>
        </w:tc>
      </w:tr>
      <w:tr w:rsidR="00F20ABC" w:rsidRPr="00F20ABC" w14:paraId="76975D3C" w14:textId="77777777" w:rsidTr="00397A61">
        <w:tc>
          <w:tcPr>
            <w:tcW w:w="10201" w:type="dxa"/>
          </w:tcPr>
          <w:p w14:paraId="749AED87" w14:textId="3359FCAA" w:rsidR="003050C6" w:rsidRPr="00F20ABC" w:rsidRDefault="00F20ABC" w:rsidP="00CE6464">
            <w:pPr>
              <w:jc w:val="both"/>
              <w:rPr>
                <w:rFonts w:cs="Arial"/>
                <w:b/>
              </w:rPr>
            </w:pPr>
            <w:r>
              <w:rPr>
                <w:rFonts w:cs="Arial"/>
                <w:b/>
              </w:rPr>
              <w:lastRenderedPageBreak/>
              <w:t>2. The measures that we</w:t>
            </w:r>
            <w:r w:rsidR="003050C6" w:rsidRPr="00F20ABC">
              <w:rPr>
                <w:rFonts w:cs="Arial"/>
                <w:b/>
              </w:rPr>
              <w:t xml:space="preserve"> have put in plac</w:t>
            </w:r>
            <w:r>
              <w:rPr>
                <w:rFonts w:cs="Arial"/>
                <w:b/>
              </w:rPr>
              <w:t>e to mitigate those risks that we</w:t>
            </w:r>
            <w:r w:rsidR="003050C6" w:rsidRPr="00F20ABC">
              <w:rPr>
                <w:rFonts w:cs="Arial"/>
                <w:b/>
              </w:rPr>
              <w:t xml:space="preserve"> consider to be </w:t>
            </w:r>
            <w:r w:rsidR="00CD357C" w:rsidRPr="00F20ABC">
              <w:rPr>
                <w:rFonts w:cs="Arial"/>
                <w:b/>
              </w:rPr>
              <w:t xml:space="preserve">reasonably </w:t>
            </w:r>
            <w:r w:rsidR="003050C6" w:rsidRPr="00F20ABC">
              <w:rPr>
                <w:rFonts w:cs="Arial"/>
                <w:b/>
              </w:rPr>
              <w:t>likely to crystallise</w:t>
            </w:r>
          </w:p>
        </w:tc>
      </w:tr>
      <w:tr w:rsidR="003050C6" w:rsidRPr="00F20ABC" w14:paraId="71432A95" w14:textId="77777777" w:rsidTr="00397A61">
        <w:tc>
          <w:tcPr>
            <w:tcW w:w="10201" w:type="dxa"/>
          </w:tcPr>
          <w:p w14:paraId="671A595A" w14:textId="77777777" w:rsidR="005125C9" w:rsidRPr="00F20ABC" w:rsidRDefault="005125C9" w:rsidP="00CE6464">
            <w:pPr>
              <w:jc w:val="both"/>
              <w:rPr>
                <w:rFonts w:cs="Arial"/>
              </w:rPr>
            </w:pPr>
          </w:p>
          <w:p w14:paraId="6254FB8D" w14:textId="42EFA1E8" w:rsidR="004230ED" w:rsidRPr="00FF01D4" w:rsidRDefault="009A7991" w:rsidP="00FF01D4">
            <w:pPr>
              <w:jc w:val="both"/>
              <w:rPr>
                <w:rFonts w:cs="Arial"/>
              </w:rPr>
            </w:pPr>
            <w:r w:rsidRPr="00FF01D4">
              <w:rPr>
                <w:rFonts w:cs="Arial"/>
              </w:rPr>
              <w:t xml:space="preserve">We have articulated the mitigating measures that are in place to ensure that we can be confident of being able to meet our commitment to teach out any students impacted by programme closure.  However, as an additional measure to provide further assurance, it should be noted that the </w:t>
            </w:r>
            <w:r w:rsidR="00B0680D" w:rsidRPr="00FF01D4">
              <w:rPr>
                <w:rFonts w:cs="Arial"/>
              </w:rPr>
              <w:t>U</w:t>
            </w:r>
            <w:r w:rsidRPr="00FF01D4">
              <w:rPr>
                <w:rFonts w:cs="Arial"/>
              </w:rPr>
              <w:t>niversity is a member of Midlands Enterprise Universities (MEU). The East Midlands members of this group</w:t>
            </w:r>
            <w:r w:rsidR="00CE6464" w:rsidRPr="00FF01D4">
              <w:rPr>
                <w:rFonts w:cs="Arial"/>
              </w:rPr>
              <w:t xml:space="preserve"> (</w:t>
            </w:r>
            <w:r w:rsidRPr="00FF01D4">
              <w:rPr>
                <w:rFonts w:cs="Arial"/>
              </w:rPr>
              <w:t>University of Derby, University of Lincoln and Nottingham Trent University</w:t>
            </w:r>
            <w:r w:rsidR="00CE6464" w:rsidRPr="00FF01D4">
              <w:rPr>
                <w:rFonts w:cs="Arial"/>
              </w:rPr>
              <w:t>)</w:t>
            </w:r>
            <w:r w:rsidRPr="00FF01D4">
              <w:rPr>
                <w:rFonts w:cs="Arial"/>
              </w:rPr>
              <w:t xml:space="preserve"> have ag</w:t>
            </w:r>
            <w:r w:rsidR="00C225EF" w:rsidRPr="00FF01D4">
              <w:rPr>
                <w:rFonts w:cs="Arial"/>
              </w:rPr>
              <w:t xml:space="preserve">reed to provide support to each </w:t>
            </w:r>
            <w:r w:rsidRPr="00FF01D4">
              <w:rPr>
                <w:rFonts w:cs="Arial"/>
              </w:rPr>
              <w:t>other</w:t>
            </w:r>
            <w:r w:rsidR="00B0680D" w:rsidRPr="00FF01D4">
              <w:rPr>
                <w:rFonts w:cs="Arial"/>
              </w:rPr>
              <w:t>’</w:t>
            </w:r>
            <w:r w:rsidRPr="00FF01D4">
              <w:rPr>
                <w:rFonts w:cs="Arial"/>
              </w:rPr>
              <w:t>s students where necessary an</w:t>
            </w:r>
            <w:r w:rsidR="00CE6464" w:rsidRPr="00FF01D4">
              <w:rPr>
                <w:rFonts w:cs="Arial"/>
              </w:rPr>
              <w:t>d feasible in the event that an</w:t>
            </w:r>
            <w:r w:rsidRPr="00FF01D4">
              <w:rPr>
                <w:rFonts w:cs="Arial"/>
              </w:rPr>
              <w:t xml:space="preserve"> individual university found itself unable to meet its commitments to students.  This is an additional ‘safety net’ measure.</w:t>
            </w:r>
          </w:p>
        </w:tc>
      </w:tr>
    </w:tbl>
    <w:p w14:paraId="21B0DD93" w14:textId="77777777" w:rsidR="005125C9" w:rsidRPr="00F20ABC" w:rsidRDefault="005125C9" w:rsidP="00CE6464">
      <w:pPr>
        <w:jc w:val="both"/>
      </w:pPr>
      <w:r w:rsidRPr="00F20ABC">
        <w:br w:type="page"/>
      </w:r>
    </w:p>
    <w:tbl>
      <w:tblPr>
        <w:tblStyle w:val="TableGrid"/>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1"/>
      </w:tblGrid>
      <w:tr w:rsidR="00F20ABC" w:rsidRPr="00F20ABC" w14:paraId="0F7B48C0" w14:textId="77777777" w:rsidTr="00F20ABC">
        <w:trPr>
          <w:cnfStyle w:val="100000000000" w:firstRow="1" w:lastRow="0" w:firstColumn="0" w:lastColumn="0" w:oddVBand="0" w:evenVBand="0" w:oddHBand="0" w:evenHBand="0" w:firstRowFirstColumn="0" w:firstRowLastColumn="0" w:lastRowFirstColumn="0" w:lastRowLastColumn="0"/>
        </w:trPr>
        <w:tc>
          <w:tcPr>
            <w:tcW w:w="10201" w:type="dxa"/>
          </w:tcPr>
          <w:p w14:paraId="38C59894" w14:textId="1E240DB9" w:rsidR="003050C6" w:rsidRPr="00F20ABC" w:rsidRDefault="005125C9" w:rsidP="00CE6464">
            <w:pPr>
              <w:jc w:val="both"/>
              <w:rPr>
                <w:rFonts w:cs="Arial"/>
                <w:b/>
                <w:bCs/>
              </w:rPr>
            </w:pPr>
            <w:r w:rsidRPr="00F20ABC">
              <w:rPr>
                <w:rFonts w:cs="Arial"/>
                <w:b/>
                <w:bCs/>
              </w:rPr>
              <w:lastRenderedPageBreak/>
              <w:t xml:space="preserve">3. </w:t>
            </w:r>
            <w:r w:rsidR="003050C6" w:rsidRPr="00F20ABC">
              <w:rPr>
                <w:rFonts w:cs="Arial"/>
                <w:b/>
                <w:bCs/>
              </w:rPr>
              <w:t xml:space="preserve">Information about the policy </w:t>
            </w:r>
            <w:r w:rsidR="00F20ABC">
              <w:rPr>
                <w:rFonts w:cs="Arial"/>
                <w:b/>
                <w:bCs/>
              </w:rPr>
              <w:t>we</w:t>
            </w:r>
            <w:r w:rsidR="003050C6" w:rsidRPr="00F20ABC">
              <w:rPr>
                <w:rFonts w:cs="Arial"/>
                <w:b/>
                <w:bCs/>
              </w:rPr>
              <w:t xml:space="preserve"> have in place to refund tuition fe</w:t>
            </w:r>
            <w:r w:rsidR="00F20ABC">
              <w:rPr>
                <w:rFonts w:cs="Arial"/>
                <w:b/>
                <w:bCs/>
              </w:rPr>
              <w:t xml:space="preserve">es and other relevant costs to </w:t>
            </w:r>
            <w:r w:rsidR="003050C6" w:rsidRPr="00F20ABC">
              <w:rPr>
                <w:rFonts w:cs="Arial"/>
                <w:b/>
                <w:bCs/>
              </w:rPr>
              <w:t xml:space="preserve">our students and to provide compensation where necessary in the event that </w:t>
            </w:r>
            <w:r w:rsidR="00F20ABC">
              <w:rPr>
                <w:rFonts w:cs="Arial"/>
                <w:b/>
                <w:bCs/>
              </w:rPr>
              <w:t>we</w:t>
            </w:r>
            <w:r w:rsidR="003050C6" w:rsidRPr="00F20ABC">
              <w:rPr>
                <w:rFonts w:cs="Arial"/>
                <w:b/>
                <w:bCs/>
              </w:rPr>
              <w:t xml:space="preserve"> are no longer able to preserve continuation of study</w:t>
            </w:r>
          </w:p>
        </w:tc>
      </w:tr>
      <w:tr w:rsidR="00F20ABC" w:rsidRPr="00F20ABC" w14:paraId="74B8DD5B" w14:textId="77777777" w:rsidTr="00F20ABC">
        <w:tc>
          <w:tcPr>
            <w:tcW w:w="10201" w:type="dxa"/>
          </w:tcPr>
          <w:p w14:paraId="6F33DA12" w14:textId="77777777" w:rsidR="00397A61" w:rsidRPr="00F20ABC" w:rsidRDefault="00397A61" w:rsidP="00CE6464">
            <w:pPr>
              <w:jc w:val="both"/>
              <w:rPr>
                <w:rFonts w:cs="Arial"/>
              </w:rPr>
            </w:pPr>
          </w:p>
          <w:p w14:paraId="07A29F35" w14:textId="142F5FBB" w:rsidR="003050C6" w:rsidRDefault="00397A61" w:rsidP="00CE6464">
            <w:pPr>
              <w:jc w:val="both"/>
              <w:rPr>
                <w:rFonts w:cs="Arial"/>
                <w:b/>
              </w:rPr>
            </w:pPr>
            <w:r w:rsidRPr="005D51CC">
              <w:rPr>
                <w:rFonts w:cs="Arial"/>
                <w:b/>
              </w:rPr>
              <w:t>Link to Policy:</w:t>
            </w:r>
          </w:p>
          <w:p w14:paraId="78784F70" w14:textId="4DC9E5BB" w:rsidR="00BF2FC3" w:rsidRDefault="00BF2FC3" w:rsidP="00CE6464">
            <w:pPr>
              <w:jc w:val="both"/>
              <w:rPr>
                <w:rFonts w:cs="Arial"/>
                <w:b/>
              </w:rPr>
            </w:pPr>
          </w:p>
          <w:p w14:paraId="557F1B7D" w14:textId="7792DBCD" w:rsidR="00BF2FC3" w:rsidRPr="00BF2FC3" w:rsidRDefault="00BF2FC3" w:rsidP="00CE6464">
            <w:pPr>
              <w:jc w:val="both"/>
              <w:rPr>
                <w:rFonts w:cs="Arial"/>
              </w:rPr>
            </w:pPr>
            <w:r w:rsidRPr="00BF2FC3">
              <w:rPr>
                <w:rFonts w:cs="Arial"/>
              </w:rPr>
              <w:t>The policy can be access</w:t>
            </w:r>
            <w:r>
              <w:rPr>
                <w:rFonts w:cs="Arial"/>
              </w:rPr>
              <w:t>ed</w:t>
            </w:r>
            <w:r w:rsidRPr="00BF2FC3">
              <w:rPr>
                <w:rFonts w:cs="Arial"/>
              </w:rPr>
              <w:t xml:space="preserve"> from the following page:</w:t>
            </w:r>
          </w:p>
          <w:p w14:paraId="410A0CB3" w14:textId="77777777" w:rsidR="00BF2FC3" w:rsidRDefault="00BF2FC3" w:rsidP="00CE6464">
            <w:pPr>
              <w:jc w:val="both"/>
              <w:rPr>
                <w:rFonts w:cs="Arial"/>
                <w:b/>
              </w:rPr>
            </w:pPr>
          </w:p>
          <w:p w14:paraId="3A09908B" w14:textId="3EDD6073" w:rsidR="00BF2FC3" w:rsidRDefault="00BF2FC3" w:rsidP="00CE6464">
            <w:pPr>
              <w:jc w:val="both"/>
              <w:rPr>
                <w:rFonts w:cs="Arial"/>
                <w:b/>
              </w:rPr>
            </w:pPr>
            <w:r w:rsidRPr="00BF2FC3">
              <w:rPr>
                <w:rFonts w:cs="Arial"/>
                <w:b/>
              </w:rPr>
              <w:t>https://secretariat.blogs.lincoln.ac.uk/academic-poli</w:t>
            </w:r>
            <w:bookmarkStart w:id="1" w:name="_GoBack"/>
            <w:bookmarkEnd w:id="1"/>
            <w:r w:rsidRPr="00BF2FC3">
              <w:rPr>
                <w:rFonts w:cs="Arial"/>
                <w:b/>
              </w:rPr>
              <w:t>cies/</w:t>
            </w:r>
          </w:p>
          <w:p w14:paraId="1E5E28FA" w14:textId="77777777" w:rsidR="00BF2FC3" w:rsidRPr="005D51CC" w:rsidRDefault="00BF2FC3" w:rsidP="00CE6464">
            <w:pPr>
              <w:jc w:val="both"/>
              <w:rPr>
                <w:rFonts w:cs="Arial"/>
                <w:b/>
              </w:rPr>
            </w:pPr>
          </w:p>
          <w:p w14:paraId="7E23253B" w14:textId="18B2BF98" w:rsidR="003050C6" w:rsidRPr="00CE6464" w:rsidRDefault="009A7991" w:rsidP="00CE6464">
            <w:pPr>
              <w:pStyle w:val="ListParagraph"/>
              <w:numPr>
                <w:ilvl w:val="0"/>
                <w:numId w:val="32"/>
              </w:numPr>
              <w:spacing w:after="0"/>
              <w:jc w:val="both"/>
              <w:rPr>
                <w:rFonts w:cs="Arial"/>
                <w:i/>
              </w:rPr>
            </w:pPr>
            <w:r w:rsidRPr="00F20ABC">
              <w:rPr>
                <w:rFonts w:ascii="Arial" w:hAnsi="Arial" w:cs="Arial"/>
              </w:rPr>
              <w:t xml:space="preserve">We have </w:t>
            </w:r>
            <w:r w:rsidR="008A1A67" w:rsidRPr="00F20ABC">
              <w:rPr>
                <w:rFonts w:ascii="Arial" w:hAnsi="Arial" w:cs="Arial"/>
              </w:rPr>
              <w:t xml:space="preserve">(2016/17 financial accounts) </w:t>
            </w:r>
            <w:r w:rsidRPr="00F20ABC">
              <w:rPr>
                <w:rFonts w:ascii="Arial" w:hAnsi="Arial" w:cs="Arial"/>
              </w:rPr>
              <w:t>cash reserves in excess of</w:t>
            </w:r>
            <w:r w:rsidR="003050C6" w:rsidRPr="00F20ABC">
              <w:rPr>
                <w:rFonts w:ascii="Arial" w:hAnsi="Arial" w:cs="Arial"/>
              </w:rPr>
              <w:t xml:space="preserve"> </w:t>
            </w:r>
            <w:r w:rsidRPr="00F20ABC">
              <w:rPr>
                <w:rFonts w:ascii="Arial" w:hAnsi="Arial" w:cs="Arial"/>
              </w:rPr>
              <w:t>£30m</w:t>
            </w:r>
            <w:r w:rsidR="003050C6" w:rsidRPr="00F20ABC">
              <w:rPr>
                <w:rFonts w:ascii="Arial" w:hAnsi="Arial" w:cs="Arial"/>
              </w:rPr>
              <w:t xml:space="preserve"> which would be sufficient to provide refunds and compensation for the </w:t>
            </w:r>
            <w:r w:rsidR="00BE12D3" w:rsidRPr="00F20ABC">
              <w:rPr>
                <w:rFonts w:ascii="Arial" w:hAnsi="Arial" w:cs="Arial"/>
              </w:rPr>
              <w:t xml:space="preserve">very small number of </w:t>
            </w:r>
            <w:r w:rsidR="003050C6" w:rsidRPr="00F20ABC">
              <w:rPr>
                <w:rFonts w:ascii="Arial" w:hAnsi="Arial" w:cs="Arial"/>
              </w:rPr>
              <w:t>students</w:t>
            </w:r>
            <w:r w:rsidR="00BE12D3" w:rsidRPr="00F20ABC">
              <w:rPr>
                <w:rFonts w:ascii="Arial" w:hAnsi="Arial" w:cs="Arial"/>
              </w:rPr>
              <w:t xml:space="preserve"> who might be deleteriously affected by the withdrawal of, or significant change to, a programme of study</w:t>
            </w:r>
            <w:r w:rsidR="00397A61" w:rsidRPr="00F20ABC">
              <w:rPr>
                <w:rFonts w:ascii="Arial" w:hAnsi="Arial" w:cs="Arial"/>
              </w:rPr>
              <w:t>.</w:t>
            </w:r>
          </w:p>
          <w:p w14:paraId="2661103E" w14:textId="15A2CAA9" w:rsidR="00CE6464" w:rsidRPr="00CE6464" w:rsidRDefault="00CE6464" w:rsidP="00CE6464">
            <w:pPr>
              <w:ind w:left="360"/>
              <w:jc w:val="both"/>
              <w:rPr>
                <w:rFonts w:cs="Arial"/>
                <w:i/>
              </w:rPr>
            </w:pPr>
          </w:p>
        </w:tc>
      </w:tr>
      <w:tr w:rsidR="00F20ABC" w:rsidRPr="00F20ABC" w14:paraId="6B671688" w14:textId="77777777" w:rsidTr="00F20ABC">
        <w:tc>
          <w:tcPr>
            <w:tcW w:w="10201" w:type="dxa"/>
          </w:tcPr>
          <w:p w14:paraId="7310ED28" w14:textId="06D7859F" w:rsidR="003050C6" w:rsidRPr="00F20ABC" w:rsidRDefault="005125C9" w:rsidP="00CE6464">
            <w:pPr>
              <w:jc w:val="both"/>
              <w:rPr>
                <w:rFonts w:cs="Arial"/>
                <w:b/>
              </w:rPr>
            </w:pPr>
            <w:r w:rsidRPr="00F20ABC">
              <w:rPr>
                <w:rFonts w:cs="Arial"/>
                <w:b/>
              </w:rPr>
              <w:t xml:space="preserve">4. </w:t>
            </w:r>
            <w:r w:rsidR="00F20ABC">
              <w:rPr>
                <w:rFonts w:cs="Arial"/>
                <w:b/>
              </w:rPr>
              <w:t>Information about how we</w:t>
            </w:r>
            <w:r w:rsidR="003050C6" w:rsidRPr="00F20ABC">
              <w:rPr>
                <w:rFonts w:cs="Arial"/>
                <w:b/>
              </w:rPr>
              <w:t xml:space="preserve"> will c</w:t>
            </w:r>
            <w:r w:rsidR="00F20ABC">
              <w:rPr>
                <w:rFonts w:cs="Arial"/>
                <w:b/>
              </w:rPr>
              <w:t xml:space="preserve">ommunicate with students about </w:t>
            </w:r>
            <w:r w:rsidR="003050C6" w:rsidRPr="00F20ABC">
              <w:rPr>
                <w:rFonts w:cs="Arial"/>
                <w:b/>
              </w:rPr>
              <w:t>our student protection plan</w:t>
            </w:r>
          </w:p>
        </w:tc>
      </w:tr>
      <w:tr w:rsidR="00F20ABC" w:rsidRPr="00F20ABC" w14:paraId="70EB07A3" w14:textId="77777777" w:rsidTr="00F20ABC">
        <w:trPr>
          <w:cantSplit w:val="0"/>
        </w:trPr>
        <w:tc>
          <w:tcPr>
            <w:tcW w:w="10201" w:type="dxa"/>
          </w:tcPr>
          <w:p w14:paraId="14508C04" w14:textId="77777777" w:rsidR="00F20ABC" w:rsidRPr="00FF01D4" w:rsidRDefault="00F20ABC" w:rsidP="00FF01D4">
            <w:pPr>
              <w:pStyle w:val="ListParagraph"/>
              <w:numPr>
                <w:ilvl w:val="0"/>
                <w:numId w:val="0"/>
              </w:numPr>
              <w:spacing w:after="0"/>
              <w:ind w:left="360"/>
              <w:jc w:val="both"/>
              <w:rPr>
                <w:rFonts w:ascii="Arial" w:hAnsi="Arial" w:cs="Arial"/>
              </w:rPr>
            </w:pPr>
          </w:p>
          <w:p w14:paraId="6CD85B1C" w14:textId="2AC00E55" w:rsidR="003050C6" w:rsidRPr="00FF01D4" w:rsidRDefault="00397A61" w:rsidP="00FF01D4">
            <w:pPr>
              <w:jc w:val="both"/>
              <w:rPr>
                <w:rFonts w:cs="Arial"/>
                <w:b/>
              </w:rPr>
            </w:pPr>
            <w:r w:rsidRPr="00FF01D4">
              <w:rPr>
                <w:rFonts w:cs="Arial"/>
                <w:b/>
              </w:rPr>
              <w:t>How we will communicate</w:t>
            </w:r>
            <w:r w:rsidR="003050C6" w:rsidRPr="00FF01D4">
              <w:rPr>
                <w:rFonts w:cs="Arial"/>
                <w:b/>
              </w:rPr>
              <w:t xml:space="preserve"> t</w:t>
            </w:r>
            <w:r w:rsidRPr="00FF01D4">
              <w:rPr>
                <w:rFonts w:cs="Arial"/>
                <w:b/>
              </w:rPr>
              <w:t xml:space="preserve">he provisions in </w:t>
            </w:r>
            <w:r w:rsidR="003050C6" w:rsidRPr="00FF01D4">
              <w:rPr>
                <w:rFonts w:cs="Arial"/>
                <w:b/>
              </w:rPr>
              <w:t>our student protection plan to current and future students</w:t>
            </w:r>
            <w:r w:rsidRPr="00FF01D4">
              <w:rPr>
                <w:rFonts w:cs="Arial"/>
                <w:b/>
              </w:rPr>
              <w:t>:</w:t>
            </w:r>
          </w:p>
          <w:p w14:paraId="0469D207" w14:textId="0AAB9D0B" w:rsidR="00BE12D3" w:rsidRPr="00FF01D4" w:rsidRDefault="003050C6" w:rsidP="00FF01D4">
            <w:pPr>
              <w:pStyle w:val="ListParagraph"/>
              <w:numPr>
                <w:ilvl w:val="0"/>
                <w:numId w:val="28"/>
              </w:numPr>
              <w:spacing w:after="0"/>
              <w:ind w:left="360" w:hanging="290"/>
              <w:jc w:val="both"/>
              <w:rPr>
                <w:rFonts w:ascii="Arial" w:hAnsi="Arial" w:cs="Arial"/>
              </w:rPr>
            </w:pPr>
            <w:r w:rsidRPr="00FF01D4">
              <w:rPr>
                <w:rFonts w:ascii="Arial" w:hAnsi="Arial" w:cs="Arial"/>
              </w:rPr>
              <w:t xml:space="preserve">We will publicise our student protection plan to current and future students </w:t>
            </w:r>
            <w:r w:rsidR="009D68D7" w:rsidRPr="00FF01D4">
              <w:rPr>
                <w:rFonts w:ascii="Arial" w:hAnsi="Arial" w:cs="Arial"/>
              </w:rPr>
              <w:t>o</w:t>
            </w:r>
            <w:r w:rsidR="00BE12D3" w:rsidRPr="00FF01D4">
              <w:rPr>
                <w:rFonts w:ascii="Arial" w:hAnsi="Arial" w:cs="Arial"/>
              </w:rPr>
              <w:t>n our website, as soon as it is approved by OfS.</w:t>
            </w:r>
          </w:p>
          <w:p w14:paraId="370BEA23" w14:textId="5C3F2D73" w:rsidR="00E457D3" w:rsidRPr="00FF01D4" w:rsidRDefault="00E457D3" w:rsidP="00FF01D4">
            <w:pPr>
              <w:pStyle w:val="ListParagraph"/>
              <w:numPr>
                <w:ilvl w:val="0"/>
                <w:numId w:val="28"/>
              </w:numPr>
              <w:spacing w:after="0"/>
              <w:ind w:left="360" w:hanging="290"/>
              <w:jc w:val="both"/>
              <w:rPr>
                <w:rFonts w:ascii="Arial" w:hAnsi="Arial" w:cs="Arial"/>
              </w:rPr>
            </w:pPr>
            <w:r w:rsidRPr="00FF01D4">
              <w:rPr>
                <w:rFonts w:ascii="Arial" w:hAnsi="Arial" w:cs="Arial"/>
              </w:rPr>
              <w:t xml:space="preserve">We will collaborate with out Students’ Union in the development and implementation of a communications plan. </w:t>
            </w:r>
          </w:p>
          <w:p w14:paraId="208C8409" w14:textId="4E95AAB2" w:rsidR="001F4382" w:rsidRPr="00FF01D4" w:rsidRDefault="003050C6" w:rsidP="00FF01D4">
            <w:pPr>
              <w:pStyle w:val="ListParagraph"/>
              <w:numPr>
                <w:ilvl w:val="0"/>
                <w:numId w:val="28"/>
              </w:numPr>
              <w:spacing w:after="0"/>
              <w:ind w:left="360" w:hanging="290"/>
              <w:jc w:val="both"/>
              <w:rPr>
                <w:rFonts w:ascii="Arial" w:hAnsi="Arial" w:cs="Arial"/>
              </w:rPr>
            </w:pPr>
            <w:r w:rsidRPr="00FF01D4">
              <w:rPr>
                <w:rFonts w:ascii="Arial" w:hAnsi="Arial" w:cs="Arial"/>
              </w:rPr>
              <w:t xml:space="preserve">We will ensure that </w:t>
            </w:r>
            <w:r w:rsidR="001F4382" w:rsidRPr="00FF01D4">
              <w:rPr>
                <w:rFonts w:ascii="Arial" w:hAnsi="Arial" w:cs="Arial"/>
              </w:rPr>
              <w:t xml:space="preserve">cross-references to our </w:t>
            </w:r>
            <w:r w:rsidR="009D68D7" w:rsidRPr="00FF01D4">
              <w:rPr>
                <w:rFonts w:ascii="Arial" w:hAnsi="Arial" w:cs="Arial"/>
              </w:rPr>
              <w:t>S</w:t>
            </w:r>
            <w:r w:rsidR="001F4382" w:rsidRPr="00FF01D4">
              <w:rPr>
                <w:rFonts w:ascii="Arial" w:hAnsi="Arial" w:cs="Arial"/>
              </w:rPr>
              <w:t xml:space="preserve">tudent </w:t>
            </w:r>
            <w:r w:rsidR="009D68D7" w:rsidRPr="00FF01D4">
              <w:rPr>
                <w:rFonts w:ascii="Arial" w:hAnsi="Arial" w:cs="Arial"/>
              </w:rPr>
              <w:t>P</w:t>
            </w:r>
            <w:r w:rsidR="001F4382" w:rsidRPr="00FF01D4">
              <w:rPr>
                <w:rFonts w:ascii="Arial" w:hAnsi="Arial" w:cs="Arial"/>
              </w:rPr>
              <w:t xml:space="preserve">rotection </w:t>
            </w:r>
            <w:r w:rsidR="009D68D7" w:rsidRPr="00FF01D4">
              <w:rPr>
                <w:rFonts w:ascii="Arial" w:hAnsi="Arial" w:cs="Arial"/>
              </w:rPr>
              <w:t>P</w:t>
            </w:r>
            <w:r w:rsidR="001F4382" w:rsidRPr="00FF01D4">
              <w:rPr>
                <w:rFonts w:ascii="Arial" w:hAnsi="Arial" w:cs="Arial"/>
              </w:rPr>
              <w:t xml:space="preserve">lan are included in the "Programme Closure, Suspension and Changes Policy" and any other relevant </w:t>
            </w:r>
            <w:r w:rsidR="009D68D7" w:rsidRPr="00FF01D4">
              <w:rPr>
                <w:rFonts w:ascii="Arial" w:hAnsi="Arial" w:cs="Arial"/>
              </w:rPr>
              <w:t>p</w:t>
            </w:r>
            <w:r w:rsidR="001F4382" w:rsidRPr="00FF01D4">
              <w:rPr>
                <w:rFonts w:ascii="Arial" w:hAnsi="Arial" w:cs="Arial"/>
              </w:rPr>
              <w:t>olicies.</w:t>
            </w:r>
          </w:p>
          <w:p w14:paraId="1333D8DE" w14:textId="6A5BB889" w:rsidR="003050C6" w:rsidRPr="00FF01D4" w:rsidRDefault="001F4382" w:rsidP="00FF01D4">
            <w:pPr>
              <w:pStyle w:val="ListParagraph"/>
              <w:numPr>
                <w:ilvl w:val="0"/>
                <w:numId w:val="28"/>
              </w:numPr>
              <w:spacing w:after="0"/>
              <w:ind w:left="360" w:hanging="290"/>
              <w:jc w:val="both"/>
              <w:rPr>
                <w:rFonts w:ascii="Arial" w:hAnsi="Arial" w:cs="Arial"/>
              </w:rPr>
            </w:pPr>
            <w:r w:rsidRPr="00FF01D4">
              <w:rPr>
                <w:rFonts w:ascii="Arial" w:hAnsi="Arial" w:cs="Arial"/>
              </w:rPr>
              <w:t>We will ensure that consideration of the Student Protection Plan is built into the Terms of Reference of relevant committees.</w:t>
            </w:r>
          </w:p>
          <w:p w14:paraId="3CF70A7E" w14:textId="77777777" w:rsidR="00CE6464" w:rsidRPr="00FF01D4" w:rsidRDefault="00CE6464" w:rsidP="00FF01D4">
            <w:pPr>
              <w:pStyle w:val="ListParagraph"/>
              <w:numPr>
                <w:ilvl w:val="0"/>
                <w:numId w:val="0"/>
              </w:numPr>
              <w:spacing w:after="0"/>
              <w:ind w:left="360"/>
              <w:jc w:val="both"/>
              <w:rPr>
                <w:rFonts w:ascii="Arial" w:hAnsi="Arial" w:cs="Arial"/>
              </w:rPr>
            </w:pPr>
          </w:p>
          <w:p w14:paraId="4713773E" w14:textId="7D090829" w:rsidR="003050C6" w:rsidRPr="00FF01D4" w:rsidRDefault="00397A61" w:rsidP="00FF01D4">
            <w:pPr>
              <w:jc w:val="both"/>
              <w:rPr>
                <w:rFonts w:cs="Arial"/>
                <w:b/>
              </w:rPr>
            </w:pPr>
            <w:r w:rsidRPr="00FF01D4">
              <w:rPr>
                <w:rFonts w:cs="Arial"/>
                <w:b/>
              </w:rPr>
              <w:t xml:space="preserve">How we will work with </w:t>
            </w:r>
            <w:r w:rsidR="003050C6" w:rsidRPr="00FF01D4">
              <w:rPr>
                <w:rFonts w:cs="Arial"/>
                <w:b/>
              </w:rPr>
              <w:t xml:space="preserve">our current </w:t>
            </w:r>
            <w:r w:rsidRPr="00FF01D4">
              <w:rPr>
                <w:rFonts w:cs="Arial"/>
                <w:b/>
              </w:rPr>
              <w:t xml:space="preserve">students in the development of </w:t>
            </w:r>
            <w:r w:rsidR="003050C6" w:rsidRPr="00FF01D4">
              <w:rPr>
                <w:rFonts w:cs="Arial"/>
                <w:b/>
              </w:rPr>
              <w:t>our student protection plan</w:t>
            </w:r>
            <w:r w:rsidRPr="00FF01D4">
              <w:rPr>
                <w:rFonts w:cs="Arial"/>
                <w:b/>
              </w:rPr>
              <w:t>:</w:t>
            </w:r>
          </w:p>
          <w:p w14:paraId="504B53BB" w14:textId="0CA53FAC" w:rsidR="001F4382" w:rsidRPr="00FF01D4" w:rsidRDefault="001F4382" w:rsidP="00FF01D4">
            <w:pPr>
              <w:pStyle w:val="ListParagraph"/>
              <w:numPr>
                <w:ilvl w:val="0"/>
                <w:numId w:val="28"/>
              </w:numPr>
              <w:spacing w:after="0"/>
              <w:ind w:left="360" w:hanging="290"/>
              <w:jc w:val="both"/>
              <w:rPr>
                <w:rFonts w:ascii="Arial" w:hAnsi="Arial" w:cs="Arial"/>
              </w:rPr>
            </w:pPr>
            <w:r w:rsidRPr="00FF01D4">
              <w:rPr>
                <w:rFonts w:ascii="Arial" w:hAnsi="Arial" w:cs="Arial"/>
              </w:rPr>
              <w:t>Our Students</w:t>
            </w:r>
            <w:r w:rsidR="008A1A67" w:rsidRPr="00FF01D4">
              <w:rPr>
                <w:rFonts w:ascii="Arial" w:hAnsi="Arial" w:cs="Arial"/>
              </w:rPr>
              <w:t>’</w:t>
            </w:r>
            <w:r w:rsidRPr="00FF01D4">
              <w:rPr>
                <w:rFonts w:ascii="Arial" w:hAnsi="Arial" w:cs="Arial"/>
              </w:rPr>
              <w:t xml:space="preserve"> Union has been consulted </w:t>
            </w:r>
            <w:r w:rsidR="00E457D3" w:rsidRPr="00FF01D4">
              <w:rPr>
                <w:rFonts w:ascii="Arial" w:hAnsi="Arial" w:cs="Arial"/>
              </w:rPr>
              <w:t>and supports</w:t>
            </w:r>
            <w:r w:rsidRPr="00FF01D4">
              <w:rPr>
                <w:rFonts w:ascii="Arial" w:hAnsi="Arial" w:cs="Arial"/>
              </w:rPr>
              <w:t xml:space="preserve"> this Student Protection Plan (and the </w:t>
            </w:r>
            <w:r w:rsidR="008A1A67" w:rsidRPr="00FF01D4">
              <w:rPr>
                <w:rFonts w:ascii="Arial" w:hAnsi="Arial" w:cs="Arial"/>
              </w:rPr>
              <w:t>associated</w:t>
            </w:r>
            <w:r w:rsidRPr="00FF01D4">
              <w:rPr>
                <w:rFonts w:ascii="Arial" w:hAnsi="Arial" w:cs="Arial"/>
              </w:rPr>
              <w:t xml:space="preserve"> “Refund &amp; Compensation Policy</w:t>
            </w:r>
            <w:r w:rsidR="0066224C" w:rsidRPr="00FF01D4">
              <w:rPr>
                <w:rFonts w:ascii="Arial" w:hAnsi="Arial" w:cs="Arial"/>
              </w:rPr>
              <w:t>”</w:t>
            </w:r>
            <w:r w:rsidR="008A1A67" w:rsidRPr="00FF01D4">
              <w:rPr>
                <w:rFonts w:ascii="Arial" w:hAnsi="Arial" w:cs="Arial"/>
              </w:rPr>
              <w:t>)</w:t>
            </w:r>
            <w:r w:rsidRPr="00FF01D4">
              <w:rPr>
                <w:rFonts w:ascii="Arial" w:hAnsi="Arial" w:cs="Arial"/>
              </w:rPr>
              <w:t>.</w:t>
            </w:r>
            <w:r w:rsidR="00B37C8C" w:rsidRPr="00FF01D4">
              <w:rPr>
                <w:rFonts w:ascii="Arial" w:hAnsi="Arial" w:cs="Arial"/>
              </w:rPr>
              <w:t xml:space="preserve"> </w:t>
            </w:r>
          </w:p>
          <w:p w14:paraId="1E48AE49" w14:textId="5DF8A499" w:rsidR="001F4382" w:rsidRPr="00FF01D4" w:rsidRDefault="001F4382" w:rsidP="00FF01D4">
            <w:pPr>
              <w:pStyle w:val="ListParagraph"/>
              <w:numPr>
                <w:ilvl w:val="0"/>
                <w:numId w:val="28"/>
              </w:numPr>
              <w:spacing w:after="0"/>
              <w:ind w:left="360" w:hanging="290"/>
              <w:jc w:val="both"/>
              <w:rPr>
                <w:rFonts w:ascii="Arial" w:hAnsi="Arial" w:cs="Arial"/>
              </w:rPr>
            </w:pPr>
            <w:r w:rsidRPr="00FF01D4">
              <w:rPr>
                <w:rFonts w:ascii="Arial" w:hAnsi="Arial" w:cs="Arial"/>
              </w:rPr>
              <w:t>We will review our Student Protection Plan with our Students</w:t>
            </w:r>
            <w:r w:rsidR="008A1A67" w:rsidRPr="00FF01D4">
              <w:rPr>
                <w:rFonts w:ascii="Arial" w:hAnsi="Arial" w:cs="Arial"/>
              </w:rPr>
              <w:t>’</w:t>
            </w:r>
            <w:r w:rsidRPr="00FF01D4">
              <w:rPr>
                <w:rFonts w:ascii="Arial" w:hAnsi="Arial" w:cs="Arial"/>
              </w:rPr>
              <w:t xml:space="preserve"> Union every five year years</w:t>
            </w:r>
            <w:r w:rsidR="0066224C" w:rsidRPr="00FF01D4">
              <w:rPr>
                <w:rFonts w:ascii="Arial" w:hAnsi="Arial" w:cs="Arial"/>
              </w:rPr>
              <w:t>,</w:t>
            </w:r>
            <w:r w:rsidR="00B37C8C" w:rsidRPr="00FF01D4">
              <w:rPr>
                <w:rFonts w:ascii="Arial" w:hAnsi="Arial" w:cs="Arial"/>
              </w:rPr>
              <w:t xml:space="preserve"> to ensure that it remains in line with best practice and </w:t>
            </w:r>
            <w:r w:rsidR="008A1A67" w:rsidRPr="00FF01D4">
              <w:rPr>
                <w:rFonts w:ascii="Arial" w:hAnsi="Arial" w:cs="Arial"/>
              </w:rPr>
              <w:t xml:space="preserve">factors in </w:t>
            </w:r>
            <w:r w:rsidR="00B37C8C" w:rsidRPr="00FF01D4">
              <w:rPr>
                <w:rFonts w:ascii="Arial" w:hAnsi="Arial" w:cs="Arial"/>
              </w:rPr>
              <w:t>any changes to the identified risks</w:t>
            </w:r>
            <w:r w:rsidRPr="00FF01D4">
              <w:rPr>
                <w:rFonts w:ascii="Arial" w:hAnsi="Arial" w:cs="Arial"/>
              </w:rPr>
              <w:t xml:space="preserve">, with the next review due to be completed by the end of May 2023. </w:t>
            </w:r>
          </w:p>
          <w:p w14:paraId="6C5A6B8C" w14:textId="77777777" w:rsidR="00CE6464" w:rsidRPr="00FF01D4" w:rsidRDefault="00CE6464" w:rsidP="00FF01D4">
            <w:pPr>
              <w:pStyle w:val="ListParagraph"/>
              <w:numPr>
                <w:ilvl w:val="0"/>
                <w:numId w:val="0"/>
              </w:numPr>
              <w:spacing w:after="0"/>
              <w:ind w:left="360"/>
              <w:jc w:val="both"/>
              <w:rPr>
                <w:rFonts w:ascii="Arial" w:hAnsi="Arial" w:cs="Arial"/>
              </w:rPr>
            </w:pPr>
          </w:p>
          <w:p w14:paraId="1D892D9E" w14:textId="052D665F" w:rsidR="001F4382" w:rsidRPr="00FF01D4" w:rsidRDefault="00397A61" w:rsidP="00FF01D4">
            <w:pPr>
              <w:jc w:val="both"/>
              <w:rPr>
                <w:rFonts w:cs="Arial"/>
                <w:b/>
              </w:rPr>
            </w:pPr>
            <w:r w:rsidRPr="00FF01D4">
              <w:rPr>
                <w:rFonts w:cs="Arial"/>
                <w:b/>
              </w:rPr>
              <w:t xml:space="preserve">Arrangements that have been put in place to communicate with affected students should the student protection plan need to be implemented: </w:t>
            </w:r>
          </w:p>
          <w:p w14:paraId="6DFFF487" w14:textId="26CF7187" w:rsidR="001F4382" w:rsidRPr="00FF01D4" w:rsidRDefault="009D68D7" w:rsidP="00FF01D4">
            <w:pPr>
              <w:pStyle w:val="ListParagraph"/>
              <w:numPr>
                <w:ilvl w:val="0"/>
                <w:numId w:val="28"/>
              </w:numPr>
              <w:spacing w:after="0"/>
              <w:ind w:left="360" w:hanging="290"/>
              <w:jc w:val="both"/>
              <w:rPr>
                <w:rFonts w:ascii="Arial" w:hAnsi="Arial" w:cs="Arial"/>
              </w:rPr>
            </w:pPr>
            <w:r w:rsidRPr="00FF01D4">
              <w:rPr>
                <w:rFonts w:ascii="Arial" w:hAnsi="Arial" w:cs="Arial"/>
              </w:rPr>
              <w:t>In the event that measures detailed in the Student Protection Plan need to be invoked, the student interest will be paramount</w:t>
            </w:r>
            <w:r w:rsidR="001F4382" w:rsidRPr="00FF01D4">
              <w:rPr>
                <w:rFonts w:ascii="Arial" w:hAnsi="Arial" w:cs="Arial"/>
              </w:rPr>
              <w:t>.</w:t>
            </w:r>
          </w:p>
          <w:p w14:paraId="22248AAA" w14:textId="797D51B8" w:rsidR="001F4382" w:rsidRPr="00FF01D4" w:rsidRDefault="009D68D7" w:rsidP="00FF01D4">
            <w:pPr>
              <w:pStyle w:val="ListParagraph"/>
              <w:numPr>
                <w:ilvl w:val="0"/>
                <w:numId w:val="28"/>
              </w:numPr>
              <w:spacing w:after="0"/>
              <w:ind w:left="360" w:hanging="290"/>
              <w:jc w:val="both"/>
              <w:rPr>
                <w:rFonts w:ascii="Arial" w:hAnsi="Arial" w:cs="Arial"/>
              </w:rPr>
            </w:pPr>
            <w:r w:rsidRPr="00FF01D4">
              <w:rPr>
                <w:rFonts w:ascii="Arial" w:hAnsi="Arial" w:cs="Arial"/>
              </w:rPr>
              <w:t>The University</w:t>
            </w:r>
            <w:r w:rsidR="003050C6" w:rsidRPr="00FF01D4">
              <w:rPr>
                <w:rFonts w:ascii="Arial" w:hAnsi="Arial" w:cs="Arial"/>
              </w:rPr>
              <w:t xml:space="preserve"> will </w:t>
            </w:r>
            <w:r w:rsidRPr="00FF01D4">
              <w:rPr>
                <w:rFonts w:ascii="Arial" w:hAnsi="Arial" w:cs="Arial"/>
              </w:rPr>
              <w:t xml:space="preserve">work closely with the Students Union in agreeing appropriate specific arrangements and will communicate with affected students </w:t>
            </w:r>
            <w:r w:rsidR="00B214C7" w:rsidRPr="00FF01D4">
              <w:rPr>
                <w:rFonts w:ascii="Arial" w:hAnsi="Arial" w:cs="Arial"/>
              </w:rPr>
              <w:t>directly via a range of channels (direct email, social media, face-to-face etc).</w:t>
            </w:r>
          </w:p>
          <w:p w14:paraId="416D510D" w14:textId="1D6B8F25" w:rsidR="00E457D3" w:rsidRPr="00FF01D4" w:rsidRDefault="009D68D7" w:rsidP="00FF01D4">
            <w:pPr>
              <w:pStyle w:val="ListParagraph"/>
              <w:numPr>
                <w:ilvl w:val="0"/>
                <w:numId w:val="28"/>
              </w:numPr>
              <w:spacing w:after="0"/>
              <w:ind w:left="360" w:hanging="290"/>
              <w:jc w:val="both"/>
              <w:rPr>
                <w:rFonts w:ascii="Arial" w:hAnsi="Arial" w:cs="Arial"/>
              </w:rPr>
            </w:pPr>
            <w:r w:rsidRPr="00FF01D4">
              <w:rPr>
                <w:rFonts w:ascii="Arial" w:hAnsi="Arial" w:cs="Arial"/>
              </w:rPr>
              <w:t>Student</w:t>
            </w:r>
            <w:r w:rsidR="000938E5" w:rsidRPr="00FF01D4">
              <w:rPr>
                <w:rFonts w:ascii="Arial" w:hAnsi="Arial" w:cs="Arial"/>
              </w:rPr>
              <w:t>s</w:t>
            </w:r>
            <w:r w:rsidRPr="00FF01D4">
              <w:rPr>
                <w:rFonts w:ascii="Arial" w:hAnsi="Arial" w:cs="Arial"/>
              </w:rPr>
              <w:t xml:space="preserve"> will be signposted to </w:t>
            </w:r>
            <w:r w:rsidR="000938E5" w:rsidRPr="00FF01D4">
              <w:rPr>
                <w:rFonts w:ascii="Arial" w:hAnsi="Arial" w:cs="Arial"/>
              </w:rPr>
              <w:t>their School/College office and the Student Support Centre for University advice</w:t>
            </w:r>
            <w:r w:rsidR="00E457D3" w:rsidRPr="00FF01D4">
              <w:rPr>
                <w:rFonts w:ascii="Arial" w:hAnsi="Arial" w:cs="Arial"/>
              </w:rPr>
              <w:t>.</w:t>
            </w:r>
          </w:p>
          <w:p w14:paraId="7D90A9D7" w14:textId="529C937B" w:rsidR="00B37C8C" w:rsidRPr="00FF01D4" w:rsidRDefault="00E457D3" w:rsidP="00FF01D4">
            <w:pPr>
              <w:pStyle w:val="ListParagraph"/>
              <w:numPr>
                <w:ilvl w:val="0"/>
                <w:numId w:val="28"/>
              </w:numPr>
              <w:spacing w:after="0"/>
              <w:ind w:left="360" w:hanging="290"/>
              <w:jc w:val="both"/>
              <w:rPr>
                <w:rFonts w:ascii="Arial" w:hAnsi="Arial" w:cs="Arial"/>
              </w:rPr>
            </w:pPr>
            <w:r w:rsidRPr="00FF01D4">
              <w:rPr>
                <w:rFonts w:ascii="Arial" w:hAnsi="Arial" w:cs="Arial"/>
              </w:rPr>
              <w:t>T</w:t>
            </w:r>
            <w:r w:rsidR="0066224C" w:rsidRPr="00FF01D4">
              <w:rPr>
                <w:rFonts w:ascii="Arial" w:hAnsi="Arial" w:cs="Arial"/>
              </w:rPr>
              <w:t>he</w:t>
            </w:r>
            <w:r w:rsidR="000938E5" w:rsidRPr="00FF01D4">
              <w:rPr>
                <w:rFonts w:ascii="Arial" w:hAnsi="Arial" w:cs="Arial"/>
              </w:rPr>
              <w:t xml:space="preserve"> Students</w:t>
            </w:r>
            <w:r w:rsidRPr="00FF01D4">
              <w:rPr>
                <w:rFonts w:ascii="Arial" w:hAnsi="Arial" w:cs="Arial"/>
              </w:rPr>
              <w:t>’</w:t>
            </w:r>
            <w:r w:rsidR="000938E5" w:rsidRPr="00FF01D4">
              <w:rPr>
                <w:rFonts w:ascii="Arial" w:hAnsi="Arial" w:cs="Arial"/>
              </w:rPr>
              <w:t xml:space="preserve"> Union</w:t>
            </w:r>
            <w:r w:rsidRPr="00FF01D4">
              <w:rPr>
                <w:rFonts w:ascii="Arial" w:hAnsi="Arial" w:cs="Arial"/>
              </w:rPr>
              <w:t xml:space="preserve"> independent</w:t>
            </w:r>
            <w:r w:rsidR="000938E5" w:rsidRPr="00FF01D4">
              <w:rPr>
                <w:rFonts w:ascii="Arial" w:hAnsi="Arial" w:cs="Arial"/>
              </w:rPr>
              <w:t xml:space="preserve"> Advice Service </w:t>
            </w:r>
            <w:r w:rsidRPr="00FF01D4">
              <w:rPr>
                <w:rFonts w:ascii="Arial" w:hAnsi="Arial" w:cs="Arial"/>
              </w:rPr>
              <w:t>will</w:t>
            </w:r>
            <w:r w:rsidR="000938E5" w:rsidRPr="00FF01D4">
              <w:rPr>
                <w:rFonts w:ascii="Arial" w:hAnsi="Arial" w:cs="Arial"/>
              </w:rPr>
              <w:t xml:space="preserve"> </w:t>
            </w:r>
            <w:r w:rsidR="00B37C8C" w:rsidRPr="00FF01D4">
              <w:rPr>
                <w:rFonts w:ascii="Arial" w:hAnsi="Arial" w:cs="Arial"/>
              </w:rPr>
              <w:t>be available</w:t>
            </w:r>
            <w:r w:rsidR="000938E5" w:rsidRPr="00FF01D4">
              <w:rPr>
                <w:rFonts w:ascii="Arial" w:hAnsi="Arial" w:cs="Arial"/>
              </w:rPr>
              <w:t>,</w:t>
            </w:r>
            <w:r w:rsidR="00B37C8C" w:rsidRPr="00FF01D4">
              <w:rPr>
                <w:rFonts w:ascii="Arial" w:hAnsi="Arial" w:cs="Arial"/>
              </w:rPr>
              <w:t xml:space="preserve"> on a more personal and individual basis</w:t>
            </w:r>
            <w:r w:rsidR="000938E5" w:rsidRPr="00FF01D4">
              <w:rPr>
                <w:rFonts w:ascii="Arial" w:hAnsi="Arial" w:cs="Arial"/>
              </w:rPr>
              <w:t>,</w:t>
            </w:r>
            <w:r w:rsidR="00B37C8C" w:rsidRPr="00FF01D4">
              <w:rPr>
                <w:rFonts w:ascii="Arial" w:hAnsi="Arial" w:cs="Arial"/>
              </w:rPr>
              <w:t xml:space="preserve"> f</w:t>
            </w:r>
            <w:r w:rsidR="000938E5" w:rsidRPr="00FF01D4">
              <w:rPr>
                <w:rFonts w:ascii="Arial" w:hAnsi="Arial" w:cs="Arial"/>
              </w:rPr>
              <w:t xml:space="preserve">or students who consider that they </w:t>
            </w:r>
            <w:r w:rsidR="00B37C8C" w:rsidRPr="00FF01D4">
              <w:rPr>
                <w:rFonts w:ascii="Arial" w:hAnsi="Arial" w:cs="Arial"/>
              </w:rPr>
              <w:t xml:space="preserve">need </w:t>
            </w:r>
            <w:r w:rsidRPr="00FF01D4">
              <w:rPr>
                <w:rFonts w:ascii="Arial" w:hAnsi="Arial" w:cs="Arial"/>
              </w:rPr>
              <w:t xml:space="preserve">independent advice and/or </w:t>
            </w:r>
            <w:r w:rsidR="00B37C8C" w:rsidRPr="00FF01D4">
              <w:rPr>
                <w:rFonts w:ascii="Arial" w:hAnsi="Arial" w:cs="Arial"/>
              </w:rPr>
              <w:t>an advocate</w:t>
            </w:r>
            <w:r w:rsidR="000938E5" w:rsidRPr="00FF01D4">
              <w:rPr>
                <w:rFonts w:ascii="Arial" w:hAnsi="Arial" w:cs="Arial"/>
              </w:rPr>
              <w:t>.</w:t>
            </w:r>
          </w:p>
          <w:p w14:paraId="38F382BB" w14:textId="31E8D353" w:rsidR="003050C6" w:rsidRPr="00FF01D4" w:rsidRDefault="000938E5" w:rsidP="00FF01D4">
            <w:pPr>
              <w:pStyle w:val="ListParagraph"/>
              <w:numPr>
                <w:ilvl w:val="0"/>
                <w:numId w:val="28"/>
              </w:numPr>
              <w:spacing w:after="0"/>
              <w:ind w:left="360" w:hanging="290"/>
              <w:jc w:val="both"/>
              <w:rPr>
                <w:rFonts w:ascii="Arial" w:hAnsi="Arial" w:cs="Arial"/>
              </w:rPr>
            </w:pPr>
            <w:r w:rsidRPr="00FF01D4">
              <w:rPr>
                <w:rFonts w:ascii="Arial" w:hAnsi="Arial" w:cs="Arial"/>
              </w:rPr>
              <w:t xml:space="preserve">Students will be signposted to the University </w:t>
            </w:r>
            <w:r w:rsidR="00B37C8C" w:rsidRPr="00FF01D4">
              <w:rPr>
                <w:rFonts w:ascii="Arial" w:hAnsi="Arial" w:cs="Arial"/>
              </w:rPr>
              <w:t>Complaints Procedure</w:t>
            </w:r>
            <w:r w:rsidRPr="00FF01D4">
              <w:rPr>
                <w:rFonts w:ascii="Arial" w:hAnsi="Arial" w:cs="Arial"/>
              </w:rPr>
              <w:t>.</w:t>
            </w:r>
            <w:r w:rsidR="00B37C8C" w:rsidRPr="00FF01D4">
              <w:rPr>
                <w:rFonts w:ascii="Arial" w:hAnsi="Arial" w:cs="Arial"/>
              </w:rPr>
              <w:t xml:space="preserve"> </w:t>
            </w:r>
          </w:p>
        </w:tc>
      </w:tr>
      <w:bookmarkEnd w:id="0"/>
    </w:tbl>
    <w:p w14:paraId="6305154C" w14:textId="343D888E" w:rsidR="00B243A1" w:rsidRPr="00F20ABC" w:rsidRDefault="00B243A1" w:rsidP="00CE6464">
      <w:pPr>
        <w:pStyle w:val="Heading2"/>
        <w:spacing w:after="0"/>
        <w:jc w:val="both"/>
        <w:rPr>
          <w:rFonts w:cs="Arial"/>
          <w:color w:val="auto"/>
        </w:rPr>
      </w:pPr>
    </w:p>
    <w:sectPr w:rsidR="00B243A1" w:rsidRPr="00F20ABC" w:rsidSect="000F5AF3">
      <w:pgSz w:w="11906" w:h="16838" w:code="9"/>
      <w:pgMar w:top="1021" w:right="1021" w:bottom="454" w:left="102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50A928" w14:textId="77777777" w:rsidR="00397A61" w:rsidRDefault="00397A61" w:rsidP="00324CFE">
      <w:r>
        <w:separator/>
      </w:r>
    </w:p>
  </w:endnote>
  <w:endnote w:type="continuationSeparator" w:id="0">
    <w:p w14:paraId="4A5326D6" w14:textId="77777777" w:rsidR="00397A61" w:rsidRDefault="00397A61" w:rsidP="00324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SF UI Text">
    <w:altName w:val="Times New Roman"/>
    <w:panose1 w:val="00000000000000000000"/>
    <w:charset w:val="00"/>
    <w:family w:val="roman"/>
    <w:notTrueType/>
    <w:pitch w:val="default"/>
  </w:font>
  <w:font w:name=".SFUIText">
    <w:altName w:val="Times New Roman"/>
    <w:panose1 w:val="00000000000000000000"/>
    <w:charset w:val="00"/>
    <w:family w:val="roman"/>
    <w:notTrueType/>
    <w:pitch w:val="default"/>
  </w:font>
  <w:font w:name="YQAXE U+ Goudy Old Style BT">
    <w:altName w:val="Goudy Old Style"/>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66F633" w14:textId="77777777" w:rsidR="00397A61" w:rsidRDefault="00397A61" w:rsidP="00324CFE">
      <w:r>
        <w:separator/>
      </w:r>
    </w:p>
  </w:footnote>
  <w:footnote w:type="continuationSeparator" w:id="0">
    <w:p w14:paraId="1A269CD2" w14:textId="77777777" w:rsidR="00397A61" w:rsidRDefault="00397A61" w:rsidP="00324C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4BEC23F2"/>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74543FBC"/>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9C12C74C"/>
    <w:lvl w:ilvl="0">
      <w:start w:val="1"/>
      <w:numFmt w:val="bullet"/>
      <w:pStyle w:val="ListBullet2"/>
      <w:lvlText w:val="-"/>
      <w:lvlJc w:val="left"/>
      <w:pPr>
        <w:ind w:left="717" w:hanging="360"/>
      </w:pPr>
      <w:rPr>
        <w:rFonts w:ascii="Courier New" w:hAnsi="Courier New" w:hint="default"/>
        <w:color w:val="803689"/>
        <w:sz w:val="24"/>
      </w:rPr>
    </w:lvl>
  </w:abstractNum>
  <w:abstractNum w:abstractNumId="3" w15:restartNumberingAfterBreak="0">
    <w:nsid w:val="FFFFFF89"/>
    <w:multiLevelType w:val="singleLevel"/>
    <w:tmpl w:val="A0205FEC"/>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0000063"/>
    <w:multiLevelType w:val="hybridMultilevel"/>
    <w:tmpl w:val="BB16DFF8"/>
    <w:lvl w:ilvl="0" w:tplc="CD26CC98">
      <w:start w:val="1"/>
      <w:numFmt w:val="upperRoman"/>
      <w:pStyle w:val="PIPnumbered"/>
      <w:lvlText w:val="%1."/>
      <w:lvlJc w:val="right"/>
      <w:pPr>
        <w:ind w:left="720" w:hanging="360"/>
      </w:pPr>
      <w:rPr>
        <w:color w:val="auto"/>
      </w:rPr>
    </w:lvl>
    <w:lvl w:ilvl="1" w:tplc="63506628">
      <w:numFmt w:val="bullet"/>
      <w:lvlText w:val="-"/>
      <w:lvlJc w:val="left"/>
      <w:pPr>
        <w:ind w:left="1800" w:hanging="720"/>
      </w:pPr>
      <w:rPr>
        <w:rFonts w:ascii="Arial" w:eastAsia="Times New Roman" w:hAnsi="Arial" w:hint="default"/>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5" w15:restartNumberingAfterBreak="0">
    <w:nsid w:val="03452575"/>
    <w:multiLevelType w:val="hybridMultilevel"/>
    <w:tmpl w:val="763EC0F2"/>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B5A352A"/>
    <w:multiLevelType w:val="multilevel"/>
    <w:tmpl w:val="6A34D286"/>
    <w:styleLink w:val="ListParagraph1"/>
    <w:lvl w:ilvl="0">
      <w:start w:val="1"/>
      <w:numFmt w:val="bullet"/>
      <w:lvlText w:val=""/>
      <w:lvlJc w:val="left"/>
      <w:pPr>
        <w:ind w:left="720" w:hanging="360"/>
      </w:pPr>
      <w:rPr>
        <w:rFonts w:ascii="Symbol" w:hAnsi="Symbol"/>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EEB0D5F"/>
    <w:multiLevelType w:val="multilevel"/>
    <w:tmpl w:val="F4142C2E"/>
    <w:lvl w:ilvl="0">
      <w:start w:val="1"/>
      <w:numFmt w:val="decimal"/>
      <w:lvlRestart w:val="0"/>
      <w:pStyle w:val="DfESOutNumbered1"/>
      <w:lvlText w:val="%1."/>
      <w:lvlJc w:val="left"/>
      <w:pPr>
        <w:tabs>
          <w:tab w:val="num" w:pos="720"/>
        </w:tabs>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0FC64FE1"/>
    <w:multiLevelType w:val="multilevel"/>
    <w:tmpl w:val="74D2F74E"/>
    <w:styleLink w:val="NumberedList"/>
    <w:lvl w:ilvl="0">
      <w:start w:val="1"/>
      <w:numFmt w:val="decimal"/>
      <w:lvlText w:val="%1."/>
      <w:lvlJc w:val="left"/>
      <w:pPr>
        <w:ind w:left="720" w:hanging="360"/>
      </w:pPr>
      <w:rPr>
        <w:color w:val="000000" w:themeColor="text1"/>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0" w15:restartNumberingAfterBreak="0">
    <w:nsid w:val="1F5E18C9"/>
    <w:multiLevelType w:val="hybridMultilevel"/>
    <w:tmpl w:val="5E6AA6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6717C4A"/>
    <w:multiLevelType w:val="hybridMultilevel"/>
    <w:tmpl w:val="F0A0F452"/>
    <w:lvl w:ilvl="0" w:tplc="716A7DFA">
      <w:start w:val="1"/>
      <w:numFmt w:val="bullet"/>
      <w:pStyle w:val="RF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2B5725"/>
    <w:multiLevelType w:val="multilevel"/>
    <w:tmpl w:val="DF44F4E4"/>
    <w:name w:val="HEFCE3"/>
    <w:lvl w:ilvl="0">
      <w:start w:val="1"/>
      <w:numFmt w:val="decimal"/>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decimal"/>
      <w:lvlText w:val="%4)"/>
      <w:lvlJc w:val="left"/>
      <w:pPr>
        <w:tabs>
          <w:tab w:val="num" w:pos="2268"/>
        </w:tabs>
        <w:ind w:left="1701" w:firstLine="0"/>
      </w:pPr>
    </w:lvl>
    <w:lvl w:ilvl="4">
      <w:start w:val="1"/>
      <w:numFmt w:val="lowerLetter"/>
      <w:lvlText w:val="%5)"/>
      <w:lvlJc w:val="left"/>
      <w:pPr>
        <w:tabs>
          <w:tab w:val="num" w:pos="2835"/>
        </w:tabs>
        <w:ind w:left="2268" w:firstLine="0"/>
      </w:pPr>
    </w:lvl>
    <w:lvl w:ilvl="5">
      <w:start w:val="1"/>
      <w:numFmt w:val="lowerRoman"/>
      <w:lvlText w:val="%6)"/>
      <w:lvlJc w:val="left"/>
      <w:pPr>
        <w:tabs>
          <w:tab w:val="num" w:pos="3402"/>
        </w:tabs>
        <w:ind w:left="2835" w:firstLine="0"/>
      </w:pPr>
    </w:lvl>
    <w:lvl w:ilvl="6">
      <w:start w:val="1"/>
      <w:numFmt w:val="decimal"/>
      <w:lvlText w:val="(%7)"/>
      <w:lvlJc w:val="left"/>
      <w:pPr>
        <w:tabs>
          <w:tab w:val="num" w:pos="3969"/>
        </w:tabs>
        <w:ind w:left="3402" w:firstLine="0"/>
      </w:pPr>
    </w:lvl>
    <w:lvl w:ilvl="7">
      <w:start w:val="1"/>
      <w:numFmt w:val="lowerLetter"/>
      <w:lvlText w:val="(%8)"/>
      <w:lvlJc w:val="left"/>
      <w:pPr>
        <w:tabs>
          <w:tab w:val="num" w:pos="4535"/>
        </w:tabs>
        <w:ind w:left="3969" w:firstLine="0"/>
      </w:pPr>
    </w:lvl>
    <w:lvl w:ilvl="8">
      <w:start w:val="1"/>
      <w:numFmt w:val="lowerRoman"/>
      <w:lvlText w:val="(%9)"/>
      <w:lvlJc w:val="left"/>
      <w:pPr>
        <w:tabs>
          <w:tab w:val="num" w:pos="5102"/>
        </w:tabs>
        <w:ind w:left="4535" w:firstLine="0"/>
      </w:pPr>
    </w:lvl>
  </w:abstractNum>
  <w:abstractNum w:abstractNumId="13" w15:restartNumberingAfterBreak="0">
    <w:nsid w:val="277B60B0"/>
    <w:multiLevelType w:val="multilevel"/>
    <w:tmpl w:val="19341E28"/>
    <w:styleLink w:val="LFO10"/>
    <w:lvl w:ilvl="0">
      <w:start w:val="1"/>
      <w:numFmt w:val="decimal"/>
      <w:lvlText w:val="%1."/>
      <w:lvlJc w:val="left"/>
      <w:pPr>
        <w:ind w:left="720" w:hanging="360"/>
      </w:pPr>
      <w:rPr>
        <w:b w:val="0"/>
      </w:rPr>
    </w:lvl>
    <w:lvl w:ilvl="1">
      <w:numFmt w:val="bullet"/>
      <w:lvlText w:val=""/>
      <w:lvlJc w:val="left"/>
      <w:pPr>
        <w:ind w:left="1440" w:hanging="360"/>
      </w:pPr>
      <w:rPr>
        <w:rFonts w:ascii="Symbol" w:hAnsi="Symbo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A746566"/>
    <w:multiLevelType w:val="hybridMultilevel"/>
    <w:tmpl w:val="FA28706A"/>
    <w:lvl w:ilvl="0" w:tplc="1F1013FA">
      <w:start w:val="1"/>
      <w:numFmt w:val="decimal"/>
      <w:pStyle w:val="RFnumberedpara"/>
      <w:lvlText w:val="%1."/>
      <w:lvlJc w:val="left"/>
      <w:pPr>
        <w:ind w:left="720" w:hanging="360"/>
      </w:pPr>
      <w:rPr>
        <w:rFonts w:ascii="Arial" w:hAnsi="Arial" w:cs="Aria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AA362F5"/>
    <w:multiLevelType w:val="multilevel"/>
    <w:tmpl w:val="74D2F74E"/>
    <w:styleLink w:val="NumberedList0"/>
    <w:lvl w:ilvl="0">
      <w:start w:val="1"/>
      <w:numFmt w:val="decimal"/>
      <w:lvlText w:val="%1."/>
      <w:lvlJc w:val="left"/>
      <w:pPr>
        <w:ind w:left="720" w:hanging="360"/>
      </w:pPr>
      <w:rPr>
        <w:color w:val="000000" w:themeColor="text1"/>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07A02F6"/>
    <w:multiLevelType w:val="hybridMultilevel"/>
    <w:tmpl w:val="A5A68272"/>
    <w:lvl w:ilvl="0" w:tplc="8850FA6A">
      <w:start w:val="1"/>
      <w:numFmt w:val="bullet"/>
      <w:pStyle w:val="Bullet"/>
      <w:lvlText w:val=""/>
      <w:lvlJc w:val="left"/>
      <w:pPr>
        <w:tabs>
          <w:tab w:val="num" w:pos="864"/>
        </w:tabs>
        <w:ind w:left="864" w:hanging="302"/>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6256B42"/>
    <w:multiLevelType w:val="hybridMultilevel"/>
    <w:tmpl w:val="3F5AC642"/>
    <w:lvl w:ilvl="0" w:tplc="3752D11A">
      <w:start w:val="1"/>
      <w:numFmt w:val="lowerRoman"/>
      <w:pStyle w:val="RFnumberedparaL3"/>
      <w:lvlText w:val="%1."/>
      <w:lvlJc w:val="righ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36BA2EC5"/>
    <w:multiLevelType w:val="multilevel"/>
    <w:tmpl w:val="45BCCECA"/>
    <w:styleLink w:val="OrderedList"/>
    <w:lvl w:ilvl="0">
      <w:start w:val="1"/>
      <w:numFmt w:val="decimal"/>
      <w:pStyle w:val="ListNumber"/>
      <w:lvlText w:val="%1."/>
      <w:lvlJc w:val="left"/>
      <w:pPr>
        <w:ind w:left="454" w:hanging="454"/>
      </w:pPr>
      <w:rPr>
        <w:rFonts w:ascii="Arial" w:hAnsi="Arial" w:cs="Arial" w:hint="default"/>
        <w:b w:val="0"/>
        <w:bCs w:val="0"/>
        <w:i w:val="0"/>
        <w:iCs w:val="0"/>
        <w:caps w:val="0"/>
        <w:smallCaps w:val="0"/>
        <w:strike w:val="0"/>
        <w:dstrike w:val="0"/>
        <w:vanish w:val="0"/>
        <w:color w:val="auto"/>
        <w:spacing w:val="0"/>
        <w:w w:val="100"/>
        <w:kern w:val="0"/>
        <w:position w:val="0"/>
        <w:sz w:val="22"/>
        <w:u w:val="none"/>
        <w:effect w:val="none"/>
        <w:vertAlign w:val="baseline"/>
        <w:em w:val="none"/>
        <w14:ligatures w14:val="none"/>
        <w14:numForm w14:val="default"/>
        <w14:numSpacing w14:val="default"/>
        <w14:stylisticSets/>
        <w14:cntxtAlts w14:val="0"/>
      </w:rPr>
    </w:lvl>
    <w:lvl w:ilvl="1">
      <w:start w:val="1"/>
      <w:numFmt w:val="lowerLetter"/>
      <w:pStyle w:val="ListNumber2"/>
      <w:lvlText w:val="%2."/>
      <w:lvlJc w:val="left"/>
      <w:pPr>
        <w:ind w:left="907" w:hanging="453"/>
      </w:pPr>
      <w:rPr>
        <w:rFonts w:hint="default"/>
      </w:rPr>
    </w:lvl>
    <w:lvl w:ilvl="2">
      <w:start w:val="1"/>
      <w:numFmt w:val="lowerRoman"/>
      <w:pStyle w:val="ListNumber3"/>
      <w:lvlText w:val="%3."/>
      <w:lvlJc w:val="left"/>
      <w:pPr>
        <w:ind w:left="1361" w:hanging="45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405B376C"/>
    <w:multiLevelType w:val="hybridMultilevel"/>
    <w:tmpl w:val="97204D92"/>
    <w:lvl w:ilvl="0" w:tplc="33C8F210">
      <w:start w:val="1"/>
      <w:numFmt w:val="bullet"/>
      <w:pStyle w:val="ListParagraph"/>
      <w:lvlText w:val=""/>
      <w:lvlJc w:val="left"/>
      <w:pPr>
        <w:ind w:left="720" w:hanging="360"/>
      </w:pPr>
      <w:rPr>
        <w:rFonts w:ascii="Symbol" w:hAnsi="Symbol" w:hint="default"/>
        <w:color w:val="000000" w:themeColor="text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2F6CDB"/>
    <w:multiLevelType w:val="hybridMultilevel"/>
    <w:tmpl w:val="D8781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652BDB"/>
    <w:multiLevelType w:val="multilevel"/>
    <w:tmpl w:val="DA20862C"/>
    <w:styleLink w:val="NumberList"/>
    <w:lvl w:ilvl="0">
      <w:start w:val="1"/>
      <w:numFmt w:val="decimal"/>
      <w:lvlText w:val="%1."/>
      <w:lvlJc w:val="left"/>
      <w:pPr>
        <w:ind w:left="720" w:hanging="360"/>
      </w:pPr>
      <w:rPr>
        <w:color w:val="000000" w:themeColor="text1"/>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3" w15:restartNumberingAfterBreak="0">
    <w:nsid w:val="48D12BA8"/>
    <w:multiLevelType w:val="hybridMultilevel"/>
    <w:tmpl w:val="8BF234F2"/>
    <w:lvl w:ilvl="0" w:tplc="A7E6A8BA">
      <w:start w:val="1"/>
      <w:numFmt w:val="upperRoman"/>
      <w:pStyle w:val="pignumbers"/>
      <w:lvlText w:val="%1."/>
      <w:lvlJc w:val="right"/>
      <w:pPr>
        <w:ind w:left="720" w:hanging="360"/>
      </w:pPr>
      <w:rPr>
        <w:color w:val="auto"/>
      </w:rPr>
    </w:lvl>
    <w:lvl w:ilvl="1" w:tplc="63506628">
      <w:numFmt w:val="bullet"/>
      <w:lvlText w:val="-"/>
      <w:lvlJc w:val="left"/>
      <w:pPr>
        <w:ind w:left="1800" w:hanging="720"/>
      </w:pPr>
      <w:rPr>
        <w:rFonts w:ascii="Arial" w:eastAsia="Times New Roman"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0911930"/>
    <w:multiLevelType w:val="hybridMultilevel"/>
    <w:tmpl w:val="62420B6E"/>
    <w:lvl w:ilvl="0" w:tplc="2FE610F2">
      <w:start w:val="1"/>
      <w:numFmt w:val="lowerRoman"/>
      <w:pStyle w:val="RFexecsum"/>
      <w:lvlText w:val="%1."/>
      <w:lvlJc w:val="righ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F686CC8"/>
    <w:multiLevelType w:val="multilevel"/>
    <w:tmpl w:val="B6DC9112"/>
    <w:lvl w:ilvl="0">
      <w:start w:val="1"/>
      <w:numFmt w:val="decimal"/>
      <w:pStyle w:val="numberpara1"/>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6" w15:restartNumberingAfterBreak="0">
    <w:nsid w:val="5FF223E3"/>
    <w:multiLevelType w:val="hybridMultilevel"/>
    <w:tmpl w:val="C9741FC6"/>
    <w:lvl w:ilvl="0" w:tplc="231091F4">
      <w:start w:val="1"/>
      <w:numFmt w:val="bullet"/>
      <w:pStyle w:val="BoxedYellowBullet"/>
      <w:lvlText w:val=""/>
      <w:lvlJc w:val="left"/>
      <w:pPr>
        <w:ind w:left="987" w:hanging="360"/>
      </w:pPr>
      <w:rPr>
        <w:rFonts w:ascii="Symbol" w:hAnsi="Symbol" w:hint="default"/>
        <w:sz w:val="16"/>
      </w:rPr>
    </w:lvl>
    <w:lvl w:ilvl="1" w:tplc="08090003" w:tentative="1">
      <w:start w:val="1"/>
      <w:numFmt w:val="bullet"/>
      <w:lvlText w:val="o"/>
      <w:lvlJc w:val="left"/>
      <w:pPr>
        <w:ind w:left="1707" w:hanging="360"/>
      </w:pPr>
      <w:rPr>
        <w:rFonts w:ascii="Courier New" w:hAnsi="Courier New" w:cs="Courier New" w:hint="default"/>
      </w:rPr>
    </w:lvl>
    <w:lvl w:ilvl="2" w:tplc="08090005" w:tentative="1">
      <w:start w:val="1"/>
      <w:numFmt w:val="bullet"/>
      <w:lvlText w:val=""/>
      <w:lvlJc w:val="left"/>
      <w:pPr>
        <w:ind w:left="2427" w:hanging="360"/>
      </w:pPr>
      <w:rPr>
        <w:rFonts w:ascii="Wingdings" w:hAnsi="Wingdings" w:hint="default"/>
      </w:rPr>
    </w:lvl>
    <w:lvl w:ilvl="3" w:tplc="08090001" w:tentative="1">
      <w:start w:val="1"/>
      <w:numFmt w:val="bullet"/>
      <w:lvlText w:val=""/>
      <w:lvlJc w:val="left"/>
      <w:pPr>
        <w:ind w:left="3147" w:hanging="360"/>
      </w:pPr>
      <w:rPr>
        <w:rFonts w:ascii="Symbol" w:hAnsi="Symbol" w:hint="default"/>
      </w:rPr>
    </w:lvl>
    <w:lvl w:ilvl="4" w:tplc="08090003" w:tentative="1">
      <w:start w:val="1"/>
      <w:numFmt w:val="bullet"/>
      <w:lvlText w:val="o"/>
      <w:lvlJc w:val="left"/>
      <w:pPr>
        <w:ind w:left="3867" w:hanging="360"/>
      </w:pPr>
      <w:rPr>
        <w:rFonts w:ascii="Courier New" w:hAnsi="Courier New" w:cs="Courier New" w:hint="default"/>
      </w:rPr>
    </w:lvl>
    <w:lvl w:ilvl="5" w:tplc="08090005" w:tentative="1">
      <w:start w:val="1"/>
      <w:numFmt w:val="bullet"/>
      <w:lvlText w:val=""/>
      <w:lvlJc w:val="left"/>
      <w:pPr>
        <w:ind w:left="4587" w:hanging="360"/>
      </w:pPr>
      <w:rPr>
        <w:rFonts w:ascii="Wingdings" w:hAnsi="Wingdings" w:hint="default"/>
      </w:rPr>
    </w:lvl>
    <w:lvl w:ilvl="6" w:tplc="08090001" w:tentative="1">
      <w:start w:val="1"/>
      <w:numFmt w:val="bullet"/>
      <w:lvlText w:val=""/>
      <w:lvlJc w:val="left"/>
      <w:pPr>
        <w:ind w:left="5307" w:hanging="360"/>
      </w:pPr>
      <w:rPr>
        <w:rFonts w:ascii="Symbol" w:hAnsi="Symbol" w:hint="default"/>
      </w:rPr>
    </w:lvl>
    <w:lvl w:ilvl="7" w:tplc="08090003" w:tentative="1">
      <w:start w:val="1"/>
      <w:numFmt w:val="bullet"/>
      <w:lvlText w:val="o"/>
      <w:lvlJc w:val="left"/>
      <w:pPr>
        <w:ind w:left="6027" w:hanging="360"/>
      </w:pPr>
      <w:rPr>
        <w:rFonts w:ascii="Courier New" w:hAnsi="Courier New" w:cs="Courier New" w:hint="default"/>
      </w:rPr>
    </w:lvl>
    <w:lvl w:ilvl="8" w:tplc="08090005" w:tentative="1">
      <w:start w:val="1"/>
      <w:numFmt w:val="bullet"/>
      <w:lvlText w:val=""/>
      <w:lvlJc w:val="left"/>
      <w:pPr>
        <w:ind w:left="6747" w:hanging="360"/>
      </w:pPr>
      <w:rPr>
        <w:rFonts w:ascii="Wingdings" w:hAnsi="Wingdings" w:hint="default"/>
      </w:rPr>
    </w:lvl>
  </w:abstractNum>
  <w:abstractNum w:abstractNumId="27" w15:restartNumberingAfterBreak="0">
    <w:nsid w:val="665D56D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8" w15:restartNumberingAfterBreak="0">
    <w:nsid w:val="66B46077"/>
    <w:multiLevelType w:val="multilevel"/>
    <w:tmpl w:val="F1E6B8EA"/>
    <w:styleLink w:val="StyleBulletedSymbolsymbolBlueUnderlineLeft063cmH"/>
    <w:lvl w:ilvl="0">
      <w:start w:val="1"/>
      <w:numFmt w:val="bullet"/>
      <w:lvlText w:val=""/>
      <w:lvlJc w:val="left"/>
      <w:pPr>
        <w:ind w:left="720" w:hanging="360"/>
      </w:pPr>
      <w:rPr>
        <w:rFonts w:ascii="Symbol" w:hAnsi="Symbol"/>
        <w:color w:val="0D0D0D" w:themeColor="text1" w:themeTint="F2"/>
        <w:sz w:val="24"/>
        <w:u w:val="singl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7B837FB"/>
    <w:multiLevelType w:val="hybridMultilevel"/>
    <w:tmpl w:val="BAFE1ACA"/>
    <w:lvl w:ilvl="0" w:tplc="EAC052F4">
      <w:start w:val="1"/>
      <w:numFmt w:val="bullet"/>
      <w:pStyle w:val="BoxedBlueBullet"/>
      <w:lvlText w:val=""/>
      <w:lvlJc w:val="left"/>
      <w:pPr>
        <w:ind w:left="989" w:hanging="360"/>
      </w:pPr>
      <w:rPr>
        <w:rFonts w:ascii="Symbol" w:hAnsi="Symbol" w:hint="default"/>
        <w:sz w:val="16"/>
      </w:rPr>
    </w:lvl>
    <w:lvl w:ilvl="1" w:tplc="08090003" w:tentative="1">
      <w:start w:val="1"/>
      <w:numFmt w:val="bullet"/>
      <w:lvlText w:val="o"/>
      <w:lvlJc w:val="left"/>
      <w:pPr>
        <w:ind w:left="1709" w:hanging="360"/>
      </w:pPr>
      <w:rPr>
        <w:rFonts w:ascii="Courier New" w:hAnsi="Courier New" w:cs="Courier New" w:hint="default"/>
      </w:rPr>
    </w:lvl>
    <w:lvl w:ilvl="2" w:tplc="08090005" w:tentative="1">
      <w:start w:val="1"/>
      <w:numFmt w:val="bullet"/>
      <w:lvlText w:val=""/>
      <w:lvlJc w:val="left"/>
      <w:pPr>
        <w:ind w:left="2429" w:hanging="360"/>
      </w:pPr>
      <w:rPr>
        <w:rFonts w:ascii="Wingdings" w:hAnsi="Wingdings" w:hint="default"/>
      </w:rPr>
    </w:lvl>
    <w:lvl w:ilvl="3" w:tplc="08090001" w:tentative="1">
      <w:start w:val="1"/>
      <w:numFmt w:val="bullet"/>
      <w:lvlText w:val=""/>
      <w:lvlJc w:val="left"/>
      <w:pPr>
        <w:ind w:left="3149" w:hanging="360"/>
      </w:pPr>
      <w:rPr>
        <w:rFonts w:ascii="Symbol" w:hAnsi="Symbol" w:hint="default"/>
      </w:rPr>
    </w:lvl>
    <w:lvl w:ilvl="4" w:tplc="08090003" w:tentative="1">
      <w:start w:val="1"/>
      <w:numFmt w:val="bullet"/>
      <w:lvlText w:val="o"/>
      <w:lvlJc w:val="left"/>
      <w:pPr>
        <w:ind w:left="3869" w:hanging="360"/>
      </w:pPr>
      <w:rPr>
        <w:rFonts w:ascii="Courier New" w:hAnsi="Courier New" w:cs="Courier New" w:hint="default"/>
      </w:rPr>
    </w:lvl>
    <w:lvl w:ilvl="5" w:tplc="08090005" w:tentative="1">
      <w:start w:val="1"/>
      <w:numFmt w:val="bullet"/>
      <w:lvlText w:val=""/>
      <w:lvlJc w:val="left"/>
      <w:pPr>
        <w:ind w:left="4589" w:hanging="360"/>
      </w:pPr>
      <w:rPr>
        <w:rFonts w:ascii="Wingdings" w:hAnsi="Wingdings" w:hint="default"/>
      </w:rPr>
    </w:lvl>
    <w:lvl w:ilvl="6" w:tplc="08090001" w:tentative="1">
      <w:start w:val="1"/>
      <w:numFmt w:val="bullet"/>
      <w:lvlText w:val=""/>
      <w:lvlJc w:val="left"/>
      <w:pPr>
        <w:ind w:left="5309" w:hanging="360"/>
      </w:pPr>
      <w:rPr>
        <w:rFonts w:ascii="Symbol" w:hAnsi="Symbol" w:hint="default"/>
      </w:rPr>
    </w:lvl>
    <w:lvl w:ilvl="7" w:tplc="08090003" w:tentative="1">
      <w:start w:val="1"/>
      <w:numFmt w:val="bullet"/>
      <w:lvlText w:val="o"/>
      <w:lvlJc w:val="left"/>
      <w:pPr>
        <w:ind w:left="6029" w:hanging="360"/>
      </w:pPr>
      <w:rPr>
        <w:rFonts w:ascii="Courier New" w:hAnsi="Courier New" w:cs="Courier New" w:hint="default"/>
      </w:rPr>
    </w:lvl>
    <w:lvl w:ilvl="8" w:tplc="08090005" w:tentative="1">
      <w:start w:val="1"/>
      <w:numFmt w:val="bullet"/>
      <w:lvlText w:val=""/>
      <w:lvlJc w:val="left"/>
      <w:pPr>
        <w:ind w:left="6749" w:hanging="360"/>
      </w:pPr>
      <w:rPr>
        <w:rFonts w:ascii="Wingdings" w:hAnsi="Wingdings" w:hint="default"/>
      </w:rPr>
    </w:lvl>
  </w:abstractNum>
  <w:abstractNum w:abstractNumId="30" w15:restartNumberingAfterBreak="0">
    <w:nsid w:val="6EF74B16"/>
    <w:multiLevelType w:val="hybridMultilevel"/>
    <w:tmpl w:val="14E260BE"/>
    <w:lvl w:ilvl="0" w:tplc="C3A876FC">
      <w:start w:val="1"/>
      <w:numFmt w:val="lowerLetter"/>
      <w:pStyle w:val="RFnumberedparaL2"/>
      <w:lvlText w:val="%1."/>
      <w:lvlJc w:val="left"/>
      <w:pPr>
        <w:ind w:left="720" w:hanging="360"/>
      </w:pPr>
      <w:rPr>
        <w:rFonts w:hint="default"/>
        <w:b w:val="0"/>
      </w:rPr>
    </w:lvl>
    <w:lvl w:ilvl="1" w:tplc="25BCE318">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29"/>
  </w:num>
  <w:num w:numId="4">
    <w:abstractNumId w:val="26"/>
  </w:num>
  <w:num w:numId="5">
    <w:abstractNumId w:val="18"/>
  </w:num>
  <w:num w:numId="6">
    <w:abstractNumId w:val="27"/>
  </w:num>
  <w:num w:numId="7">
    <w:abstractNumId w:val="19"/>
  </w:num>
  <w:num w:numId="8">
    <w:abstractNumId w:val="28"/>
  </w:num>
  <w:num w:numId="9">
    <w:abstractNumId w:val="6"/>
  </w:num>
  <w:num w:numId="10">
    <w:abstractNumId w:val="9"/>
  </w:num>
  <w:num w:numId="11">
    <w:abstractNumId w:val="8"/>
  </w:num>
  <w:num w:numId="12">
    <w:abstractNumId w:val="15"/>
  </w:num>
  <w:num w:numId="13">
    <w:abstractNumId w:val="21"/>
  </w:num>
  <w:num w:numId="14">
    <w:abstractNumId w:val="22"/>
  </w:num>
  <w:num w:numId="15">
    <w:abstractNumId w:val="25"/>
  </w:num>
  <w:num w:numId="16">
    <w:abstractNumId w:val="16"/>
  </w:num>
  <w:num w:numId="17">
    <w:abstractNumId w:val="13"/>
  </w:num>
  <w:num w:numId="18">
    <w:abstractNumId w:val="24"/>
  </w:num>
  <w:num w:numId="19">
    <w:abstractNumId w:val="17"/>
  </w:num>
  <w:num w:numId="20">
    <w:abstractNumId w:val="7"/>
  </w:num>
  <w:num w:numId="21">
    <w:abstractNumId w:val="1"/>
  </w:num>
  <w:num w:numId="22">
    <w:abstractNumId w:val="0"/>
  </w:num>
  <w:num w:numId="23">
    <w:abstractNumId w:val="23"/>
  </w:num>
  <w:num w:numId="24">
    <w:abstractNumId w:val="4"/>
  </w:num>
  <w:num w:numId="25">
    <w:abstractNumId w:val="14"/>
  </w:num>
  <w:num w:numId="26">
    <w:abstractNumId w:val="30"/>
  </w:num>
  <w:num w:numId="27">
    <w:abstractNumId w:val="11"/>
  </w:num>
  <w:num w:numId="28">
    <w:abstractNumId w:val="10"/>
  </w:num>
  <w:num w:numId="29">
    <w:abstractNumId w:val="5"/>
  </w:num>
  <w:num w:numId="30">
    <w:abstractNumId w:val="19"/>
  </w:num>
  <w:num w:numId="31">
    <w:abstractNumId w:val="19"/>
  </w:num>
  <w:num w:numId="32">
    <w:abstractNumId w:val="20"/>
  </w:num>
  <w:num w:numId="33">
    <w:abstractNumId w:val="19"/>
  </w:num>
  <w:num w:numId="34">
    <w:abstractNumId w:val="19"/>
  </w:num>
  <w:num w:numId="35">
    <w:abstractNumId w:val="19"/>
  </w:num>
  <w:num w:numId="36">
    <w:abstractNumId w:val="19"/>
  </w:num>
  <w:num w:numId="37">
    <w:abstractNumId w:val="19"/>
  </w:num>
  <w:num w:numId="38">
    <w:abstractNumId w:val="19"/>
  </w:num>
  <w:num w:numId="39">
    <w:abstractNumId w:val="19"/>
  </w:num>
  <w:num w:numId="40">
    <w:abstractNumId w:val="19"/>
  </w:num>
  <w:num w:numId="41">
    <w:abstractNumId w:val="19"/>
  </w:num>
  <w:num w:numId="42">
    <w:abstractNumId w:val="19"/>
  </w:num>
  <w:num w:numId="43">
    <w:abstractNumId w:val="1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475"/>
    <w:rsid w:val="00000027"/>
    <w:rsid w:val="00001B86"/>
    <w:rsid w:val="000065C7"/>
    <w:rsid w:val="000111E2"/>
    <w:rsid w:val="0001375A"/>
    <w:rsid w:val="00015CA5"/>
    <w:rsid w:val="00025B35"/>
    <w:rsid w:val="00030228"/>
    <w:rsid w:val="00031018"/>
    <w:rsid w:val="000335C0"/>
    <w:rsid w:val="00034574"/>
    <w:rsid w:val="0003565E"/>
    <w:rsid w:val="0004591E"/>
    <w:rsid w:val="000637C6"/>
    <w:rsid w:val="000663EA"/>
    <w:rsid w:val="00074496"/>
    <w:rsid w:val="00074E1D"/>
    <w:rsid w:val="000877E7"/>
    <w:rsid w:val="000938E5"/>
    <w:rsid w:val="000B1982"/>
    <w:rsid w:val="000C185D"/>
    <w:rsid w:val="000C5B6E"/>
    <w:rsid w:val="000D3D89"/>
    <w:rsid w:val="000D5DA1"/>
    <w:rsid w:val="000E075A"/>
    <w:rsid w:val="000E0EC0"/>
    <w:rsid w:val="000F1570"/>
    <w:rsid w:val="000F28CB"/>
    <w:rsid w:val="000F5AF3"/>
    <w:rsid w:val="00100D1E"/>
    <w:rsid w:val="001023CD"/>
    <w:rsid w:val="001262A3"/>
    <w:rsid w:val="00130CDB"/>
    <w:rsid w:val="00131090"/>
    <w:rsid w:val="0013202B"/>
    <w:rsid w:val="00134ED7"/>
    <w:rsid w:val="00136860"/>
    <w:rsid w:val="001473F6"/>
    <w:rsid w:val="00152063"/>
    <w:rsid w:val="001548F9"/>
    <w:rsid w:val="00162726"/>
    <w:rsid w:val="0016300F"/>
    <w:rsid w:val="001732A5"/>
    <w:rsid w:val="00176972"/>
    <w:rsid w:val="00182BA7"/>
    <w:rsid w:val="00187D36"/>
    <w:rsid w:val="00190675"/>
    <w:rsid w:val="001948C4"/>
    <w:rsid w:val="00197F63"/>
    <w:rsid w:val="001A02E4"/>
    <w:rsid w:val="001A0508"/>
    <w:rsid w:val="001A545C"/>
    <w:rsid w:val="001C0DD4"/>
    <w:rsid w:val="001D24B0"/>
    <w:rsid w:val="001D7473"/>
    <w:rsid w:val="001D7DF8"/>
    <w:rsid w:val="001E2705"/>
    <w:rsid w:val="001F1D86"/>
    <w:rsid w:val="001F4382"/>
    <w:rsid w:val="001F5895"/>
    <w:rsid w:val="00200F5D"/>
    <w:rsid w:val="002032F4"/>
    <w:rsid w:val="00207611"/>
    <w:rsid w:val="002122F4"/>
    <w:rsid w:val="002131E3"/>
    <w:rsid w:val="00215C21"/>
    <w:rsid w:val="00216ADC"/>
    <w:rsid w:val="002200F2"/>
    <w:rsid w:val="00225A8B"/>
    <w:rsid w:val="00226947"/>
    <w:rsid w:val="00231518"/>
    <w:rsid w:val="0023584F"/>
    <w:rsid w:val="00243769"/>
    <w:rsid w:val="00243EE4"/>
    <w:rsid w:val="002573BD"/>
    <w:rsid w:val="002617C8"/>
    <w:rsid w:val="00263734"/>
    <w:rsid w:val="00273CC4"/>
    <w:rsid w:val="00276A9C"/>
    <w:rsid w:val="0028140C"/>
    <w:rsid w:val="002833FA"/>
    <w:rsid w:val="002943AE"/>
    <w:rsid w:val="002B14E3"/>
    <w:rsid w:val="002B4599"/>
    <w:rsid w:val="002B6B8F"/>
    <w:rsid w:val="002D2403"/>
    <w:rsid w:val="002D745E"/>
    <w:rsid w:val="002E1D5E"/>
    <w:rsid w:val="002E3CD1"/>
    <w:rsid w:val="002E51DA"/>
    <w:rsid w:val="00301699"/>
    <w:rsid w:val="003050C6"/>
    <w:rsid w:val="0031429A"/>
    <w:rsid w:val="00320C8E"/>
    <w:rsid w:val="00323391"/>
    <w:rsid w:val="003243C4"/>
    <w:rsid w:val="00324CFE"/>
    <w:rsid w:val="00324D5D"/>
    <w:rsid w:val="00334706"/>
    <w:rsid w:val="003410B9"/>
    <w:rsid w:val="003425E5"/>
    <w:rsid w:val="00344B7E"/>
    <w:rsid w:val="0036330C"/>
    <w:rsid w:val="00363C85"/>
    <w:rsid w:val="00365188"/>
    <w:rsid w:val="00367FB3"/>
    <w:rsid w:val="0038228E"/>
    <w:rsid w:val="0038634B"/>
    <w:rsid w:val="0038687B"/>
    <w:rsid w:val="0039096E"/>
    <w:rsid w:val="00394A2B"/>
    <w:rsid w:val="00397A61"/>
    <w:rsid w:val="003A268B"/>
    <w:rsid w:val="003A43E9"/>
    <w:rsid w:val="003A4C6C"/>
    <w:rsid w:val="003B0519"/>
    <w:rsid w:val="003B209B"/>
    <w:rsid w:val="003C09C2"/>
    <w:rsid w:val="003C4519"/>
    <w:rsid w:val="003D4E75"/>
    <w:rsid w:val="003E205F"/>
    <w:rsid w:val="003E274F"/>
    <w:rsid w:val="003E4DC2"/>
    <w:rsid w:val="003E5237"/>
    <w:rsid w:val="003E57A7"/>
    <w:rsid w:val="003E5F79"/>
    <w:rsid w:val="003F0F2B"/>
    <w:rsid w:val="003F4731"/>
    <w:rsid w:val="003F6BB8"/>
    <w:rsid w:val="00402226"/>
    <w:rsid w:val="00406ABC"/>
    <w:rsid w:val="004105DB"/>
    <w:rsid w:val="00413E69"/>
    <w:rsid w:val="0041795A"/>
    <w:rsid w:val="004230ED"/>
    <w:rsid w:val="004330C0"/>
    <w:rsid w:val="004436B6"/>
    <w:rsid w:val="004441DA"/>
    <w:rsid w:val="00447013"/>
    <w:rsid w:val="00450338"/>
    <w:rsid w:val="00450EE2"/>
    <w:rsid w:val="00451152"/>
    <w:rsid w:val="00456AA6"/>
    <w:rsid w:val="00457A0D"/>
    <w:rsid w:val="00464032"/>
    <w:rsid w:val="00464090"/>
    <w:rsid w:val="004679C7"/>
    <w:rsid w:val="00470DB1"/>
    <w:rsid w:val="004712C3"/>
    <w:rsid w:val="004757A7"/>
    <w:rsid w:val="00491EA4"/>
    <w:rsid w:val="00494EE7"/>
    <w:rsid w:val="00495CE0"/>
    <w:rsid w:val="004A1EC3"/>
    <w:rsid w:val="004A2001"/>
    <w:rsid w:val="004C4E7B"/>
    <w:rsid w:val="004C58D9"/>
    <w:rsid w:val="004C5DF5"/>
    <w:rsid w:val="004D1515"/>
    <w:rsid w:val="004D1C97"/>
    <w:rsid w:val="004D279C"/>
    <w:rsid w:val="004D299B"/>
    <w:rsid w:val="004D2E55"/>
    <w:rsid w:val="004D3E5B"/>
    <w:rsid w:val="004E76DB"/>
    <w:rsid w:val="004E7CCF"/>
    <w:rsid w:val="004F586D"/>
    <w:rsid w:val="00502771"/>
    <w:rsid w:val="00503D95"/>
    <w:rsid w:val="005125C9"/>
    <w:rsid w:val="0051282C"/>
    <w:rsid w:val="00514F42"/>
    <w:rsid w:val="00516508"/>
    <w:rsid w:val="00524398"/>
    <w:rsid w:val="00530385"/>
    <w:rsid w:val="00533347"/>
    <w:rsid w:val="005375A0"/>
    <w:rsid w:val="00540F44"/>
    <w:rsid w:val="00546009"/>
    <w:rsid w:val="005540C8"/>
    <w:rsid w:val="00573924"/>
    <w:rsid w:val="00576D09"/>
    <w:rsid w:val="00580F45"/>
    <w:rsid w:val="005951AB"/>
    <w:rsid w:val="0059532F"/>
    <w:rsid w:val="005A5092"/>
    <w:rsid w:val="005A54F1"/>
    <w:rsid w:val="005B0E85"/>
    <w:rsid w:val="005B20A8"/>
    <w:rsid w:val="005B2ED5"/>
    <w:rsid w:val="005B3EC5"/>
    <w:rsid w:val="005C3911"/>
    <w:rsid w:val="005C4A0D"/>
    <w:rsid w:val="005C582A"/>
    <w:rsid w:val="005D1C6C"/>
    <w:rsid w:val="005D36B3"/>
    <w:rsid w:val="005D51CC"/>
    <w:rsid w:val="005E5407"/>
    <w:rsid w:val="005E5885"/>
    <w:rsid w:val="005F4E9B"/>
    <w:rsid w:val="005F7C13"/>
    <w:rsid w:val="00600823"/>
    <w:rsid w:val="006012DE"/>
    <w:rsid w:val="00601A20"/>
    <w:rsid w:val="0060246F"/>
    <w:rsid w:val="00602ABB"/>
    <w:rsid w:val="0060466B"/>
    <w:rsid w:val="006216B6"/>
    <w:rsid w:val="00626D92"/>
    <w:rsid w:val="00640601"/>
    <w:rsid w:val="00641465"/>
    <w:rsid w:val="00646FBE"/>
    <w:rsid w:val="0065253E"/>
    <w:rsid w:val="00660018"/>
    <w:rsid w:val="0066224C"/>
    <w:rsid w:val="00662B25"/>
    <w:rsid w:val="00664318"/>
    <w:rsid w:val="00676E71"/>
    <w:rsid w:val="00682889"/>
    <w:rsid w:val="0068663C"/>
    <w:rsid w:val="006872F0"/>
    <w:rsid w:val="006976C8"/>
    <w:rsid w:val="006A4311"/>
    <w:rsid w:val="006A4536"/>
    <w:rsid w:val="006A5F8D"/>
    <w:rsid w:val="006B024F"/>
    <w:rsid w:val="006C096D"/>
    <w:rsid w:val="006C150E"/>
    <w:rsid w:val="006F5154"/>
    <w:rsid w:val="0070046D"/>
    <w:rsid w:val="0070151E"/>
    <w:rsid w:val="00704A35"/>
    <w:rsid w:val="00706787"/>
    <w:rsid w:val="00711D1A"/>
    <w:rsid w:val="00712925"/>
    <w:rsid w:val="00712C5A"/>
    <w:rsid w:val="0071549C"/>
    <w:rsid w:val="007165C2"/>
    <w:rsid w:val="0072197C"/>
    <w:rsid w:val="0072431C"/>
    <w:rsid w:val="00724BE0"/>
    <w:rsid w:val="00735025"/>
    <w:rsid w:val="0073703D"/>
    <w:rsid w:val="0074692D"/>
    <w:rsid w:val="00756665"/>
    <w:rsid w:val="00764474"/>
    <w:rsid w:val="00767605"/>
    <w:rsid w:val="00767F94"/>
    <w:rsid w:val="00772814"/>
    <w:rsid w:val="00774175"/>
    <w:rsid w:val="00793DBA"/>
    <w:rsid w:val="007B480A"/>
    <w:rsid w:val="007C0F37"/>
    <w:rsid w:val="007C2277"/>
    <w:rsid w:val="007C2787"/>
    <w:rsid w:val="007C3968"/>
    <w:rsid w:val="007D4699"/>
    <w:rsid w:val="007D4FE4"/>
    <w:rsid w:val="007D5D6D"/>
    <w:rsid w:val="007E3A38"/>
    <w:rsid w:val="007F0C9B"/>
    <w:rsid w:val="007F6615"/>
    <w:rsid w:val="00802F05"/>
    <w:rsid w:val="00805AAD"/>
    <w:rsid w:val="00817311"/>
    <w:rsid w:val="00817DA5"/>
    <w:rsid w:val="00820397"/>
    <w:rsid w:val="008244F4"/>
    <w:rsid w:val="00824F3D"/>
    <w:rsid w:val="00833BF6"/>
    <w:rsid w:val="00837829"/>
    <w:rsid w:val="00837A74"/>
    <w:rsid w:val="00837F7C"/>
    <w:rsid w:val="00843E6D"/>
    <w:rsid w:val="00850F2B"/>
    <w:rsid w:val="0085233D"/>
    <w:rsid w:val="00852AC3"/>
    <w:rsid w:val="00854708"/>
    <w:rsid w:val="008725BC"/>
    <w:rsid w:val="00874212"/>
    <w:rsid w:val="00874351"/>
    <w:rsid w:val="00875713"/>
    <w:rsid w:val="00876A4E"/>
    <w:rsid w:val="008807CD"/>
    <w:rsid w:val="00890F07"/>
    <w:rsid w:val="00893D69"/>
    <w:rsid w:val="008A1A67"/>
    <w:rsid w:val="008B0ADA"/>
    <w:rsid w:val="008B3381"/>
    <w:rsid w:val="008B57D4"/>
    <w:rsid w:val="008B5AC0"/>
    <w:rsid w:val="008B6C3D"/>
    <w:rsid w:val="008C56F4"/>
    <w:rsid w:val="008C5E8B"/>
    <w:rsid w:val="008C6BD7"/>
    <w:rsid w:val="008D2773"/>
    <w:rsid w:val="008D2897"/>
    <w:rsid w:val="008E2ED1"/>
    <w:rsid w:val="008E79B1"/>
    <w:rsid w:val="008F0862"/>
    <w:rsid w:val="008F3E0B"/>
    <w:rsid w:val="008F69DF"/>
    <w:rsid w:val="00902792"/>
    <w:rsid w:val="009036FF"/>
    <w:rsid w:val="00903B1B"/>
    <w:rsid w:val="00906F6B"/>
    <w:rsid w:val="009074F5"/>
    <w:rsid w:val="00917162"/>
    <w:rsid w:val="0092642D"/>
    <w:rsid w:val="00934268"/>
    <w:rsid w:val="009355AC"/>
    <w:rsid w:val="009364DC"/>
    <w:rsid w:val="00940479"/>
    <w:rsid w:val="00962463"/>
    <w:rsid w:val="009645A7"/>
    <w:rsid w:val="00964FFA"/>
    <w:rsid w:val="00967733"/>
    <w:rsid w:val="009677B5"/>
    <w:rsid w:val="00974E45"/>
    <w:rsid w:val="0098479B"/>
    <w:rsid w:val="009879E2"/>
    <w:rsid w:val="009916A9"/>
    <w:rsid w:val="009943F7"/>
    <w:rsid w:val="009A243E"/>
    <w:rsid w:val="009A63BB"/>
    <w:rsid w:val="009A7991"/>
    <w:rsid w:val="009B0299"/>
    <w:rsid w:val="009B15B7"/>
    <w:rsid w:val="009B6BF1"/>
    <w:rsid w:val="009C0090"/>
    <w:rsid w:val="009C4E03"/>
    <w:rsid w:val="009C7D64"/>
    <w:rsid w:val="009D68D7"/>
    <w:rsid w:val="009D6F8F"/>
    <w:rsid w:val="009E4E3F"/>
    <w:rsid w:val="009F4AD8"/>
    <w:rsid w:val="009F7509"/>
    <w:rsid w:val="00A001EA"/>
    <w:rsid w:val="00A012DE"/>
    <w:rsid w:val="00A019E8"/>
    <w:rsid w:val="00A04B00"/>
    <w:rsid w:val="00A066E4"/>
    <w:rsid w:val="00A12B0A"/>
    <w:rsid w:val="00A20432"/>
    <w:rsid w:val="00A27ECD"/>
    <w:rsid w:val="00A40F6E"/>
    <w:rsid w:val="00A50D25"/>
    <w:rsid w:val="00A677D2"/>
    <w:rsid w:val="00A7180F"/>
    <w:rsid w:val="00A76B24"/>
    <w:rsid w:val="00A77074"/>
    <w:rsid w:val="00A77168"/>
    <w:rsid w:val="00A82A28"/>
    <w:rsid w:val="00A8647D"/>
    <w:rsid w:val="00A86B94"/>
    <w:rsid w:val="00A92D96"/>
    <w:rsid w:val="00A95E17"/>
    <w:rsid w:val="00AB2CDB"/>
    <w:rsid w:val="00AB78AB"/>
    <w:rsid w:val="00AC53F8"/>
    <w:rsid w:val="00AC771C"/>
    <w:rsid w:val="00AC790D"/>
    <w:rsid w:val="00AD45D9"/>
    <w:rsid w:val="00AD7C7E"/>
    <w:rsid w:val="00AD7CBE"/>
    <w:rsid w:val="00AF08CE"/>
    <w:rsid w:val="00AF2BA2"/>
    <w:rsid w:val="00AF6C28"/>
    <w:rsid w:val="00AF7EB8"/>
    <w:rsid w:val="00B00855"/>
    <w:rsid w:val="00B029CC"/>
    <w:rsid w:val="00B05073"/>
    <w:rsid w:val="00B0680D"/>
    <w:rsid w:val="00B12AB6"/>
    <w:rsid w:val="00B12D7B"/>
    <w:rsid w:val="00B14A05"/>
    <w:rsid w:val="00B15798"/>
    <w:rsid w:val="00B214C7"/>
    <w:rsid w:val="00B243A1"/>
    <w:rsid w:val="00B26F59"/>
    <w:rsid w:val="00B32AB9"/>
    <w:rsid w:val="00B36629"/>
    <w:rsid w:val="00B37C8C"/>
    <w:rsid w:val="00B4789B"/>
    <w:rsid w:val="00B47D62"/>
    <w:rsid w:val="00B502E0"/>
    <w:rsid w:val="00B5070F"/>
    <w:rsid w:val="00B52238"/>
    <w:rsid w:val="00B6175E"/>
    <w:rsid w:val="00B6536D"/>
    <w:rsid w:val="00B65F6A"/>
    <w:rsid w:val="00B74B08"/>
    <w:rsid w:val="00B81FFC"/>
    <w:rsid w:val="00B83DA4"/>
    <w:rsid w:val="00B96C70"/>
    <w:rsid w:val="00BA00E3"/>
    <w:rsid w:val="00BA1F80"/>
    <w:rsid w:val="00BA46F6"/>
    <w:rsid w:val="00BA7033"/>
    <w:rsid w:val="00BC5864"/>
    <w:rsid w:val="00BD3EFE"/>
    <w:rsid w:val="00BD4611"/>
    <w:rsid w:val="00BE0C16"/>
    <w:rsid w:val="00BE12D3"/>
    <w:rsid w:val="00BF2FC3"/>
    <w:rsid w:val="00BF6142"/>
    <w:rsid w:val="00BF6AB2"/>
    <w:rsid w:val="00C03351"/>
    <w:rsid w:val="00C03981"/>
    <w:rsid w:val="00C225EF"/>
    <w:rsid w:val="00C3126A"/>
    <w:rsid w:val="00C316E5"/>
    <w:rsid w:val="00C44E37"/>
    <w:rsid w:val="00C60B19"/>
    <w:rsid w:val="00C64980"/>
    <w:rsid w:val="00C6585C"/>
    <w:rsid w:val="00C663BA"/>
    <w:rsid w:val="00C73337"/>
    <w:rsid w:val="00C80E35"/>
    <w:rsid w:val="00CA2002"/>
    <w:rsid w:val="00CA7BBB"/>
    <w:rsid w:val="00CB3A64"/>
    <w:rsid w:val="00CB5103"/>
    <w:rsid w:val="00CB588F"/>
    <w:rsid w:val="00CB64FD"/>
    <w:rsid w:val="00CC44A2"/>
    <w:rsid w:val="00CC50C3"/>
    <w:rsid w:val="00CC5EE9"/>
    <w:rsid w:val="00CC72AB"/>
    <w:rsid w:val="00CD321F"/>
    <w:rsid w:val="00CD357C"/>
    <w:rsid w:val="00CD4887"/>
    <w:rsid w:val="00CD4E6A"/>
    <w:rsid w:val="00CE6464"/>
    <w:rsid w:val="00CF1660"/>
    <w:rsid w:val="00CF1A90"/>
    <w:rsid w:val="00D01383"/>
    <w:rsid w:val="00D12FC0"/>
    <w:rsid w:val="00D15526"/>
    <w:rsid w:val="00D2326A"/>
    <w:rsid w:val="00D243B6"/>
    <w:rsid w:val="00D31527"/>
    <w:rsid w:val="00D35FB2"/>
    <w:rsid w:val="00D37726"/>
    <w:rsid w:val="00D37BB4"/>
    <w:rsid w:val="00D4094B"/>
    <w:rsid w:val="00D5749C"/>
    <w:rsid w:val="00D577C0"/>
    <w:rsid w:val="00D57882"/>
    <w:rsid w:val="00D60FFC"/>
    <w:rsid w:val="00D712FF"/>
    <w:rsid w:val="00D8044C"/>
    <w:rsid w:val="00D805C2"/>
    <w:rsid w:val="00D83519"/>
    <w:rsid w:val="00D838B5"/>
    <w:rsid w:val="00D8790E"/>
    <w:rsid w:val="00DA25F5"/>
    <w:rsid w:val="00DA2879"/>
    <w:rsid w:val="00DA4D63"/>
    <w:rsid w:val="00DA63A9"/>
    <w:rsid w:val="00DB05D0"/>
    <w:rsid w:val="00DB15CA"/>
    <w:rsid w:val="00DB1F87"/>
    <w:rsid w:val="00DC0A51"/>
    <w:rsid w:val="00DC24A4"/>
    <w:rsid w:val="00DC59B7"/>
    <w:rsid w:val="00DD1784"/>
    <w:rsid w:val="00DD2C04"/>
    <w:rsid w:val="00DE3D08"/>
    <w:rsid w:val="00DF43F3"/>
    <w:rsid w:val="00DF5BF9"/>
    <w:rsid w:val="00DF6F31"/>
    <w:rsid w:val="00DF71AC"/>
    <w:rsid w:val="00E11F79"/>
    <w:rsid w:val="00E1565B"/>
    <w:rsid w:val="00E17A08"/>
    <w:rsid w:val="00E240F9"/>
    <w:rsid w:val="00E3398D"/>
    <w:rsid w:val="00E34112"/>
    <w:rsid w:val="00E348FD"/>
    <w:rsid w:val="00E37805"/>
    <w:rsid w:val="00E436CD"/>
    <w:rsid w:val="00E457D3"/>
    <w:rsid w:val="00E519A8"/>
    <w:rsid w:val="00E57824"/>
    <w:rsid w:val="00E63475"/>
    <w:rsid w:val="00E65255"/>
    <w:rsid w:val="00E700CD"/>
    <w:rsid w:val="00E74514"/>
    <w:rsid w:val="00E749A4"/>
    <w:rsid w:val="00E752E8"/>
    <w:rsid w:val="00E7632A"/>
    <w:rsid w:val="00E83B03"/>
    <w:rsid w:val="00E854D5"/>
    <w:rsid w:val="00E87A6A"/>
    <w:rsid w:val="00EA68D8"/>
    <w:rsid w:val="00EB2783"/>
    <w:rsid w:val="00EB4B1A"/>
    <w:rsid w:val="00EC0D74"/>
    <w:rsid w:val="00EC2A0A"/>
    <w:rsid w:val="00EC451C"/>
    <w:rsid w:val="00EC52BB"/>
    <w:rsid w:val="00EC5BF8"/>
    <w:rsid w:val="00ED3101"/>
    <w:rsid w:val="00ED62D7"/>
    <w:rsid w:val="00EF049E"/>
    <w:rsid w:val="00EF1D02"/>
    <w:rsid w:val="00EF2491"/>
    <w:rsid w:val="00EF63BF"/>
    <w:rsid w:val="00EF6E91"/>
    <w:rsid w:val="00F0001C"/>
    <w:rsid w:val="00F02A0E"/>
    <w:rsid w:val="00F11003"/>
    <w:rsid w:val="00F12A34"/>
    <w:rsid w:val="00F12F1D"/>
    <w:rsid w:val="00F1300D"/>
    <w:rsid w:val="00F155A7"/>
    <w:rsid w:val="00F15E6F"/>
    <w:rsid w:val="00F20ABC"/>
    <w:rsid w:val="00F24479"/>
    <w:rsid w:val="00F3334D"/>
    <w:rsid w:val="00F346C3"/>
    <w:rsid w:val="00F37E80"/>
    <w:rsid w:val="00F432AE"/>
    <w:rsid w:val="00F456B8"/>
    <w:rsid w:val="00F45C02"/>
    <w:rsid w:val="00F55B98"/>
    <w:rsid w:val="00F6425B"/>
    <w:rsid w:val="00F64282"/>
    <w:rsid w:val="00F66DC8"/>
    <w:rsid w:val="00F70B74"/>
    <w:rsid w:val="00F720D7"/>
    <w:rsid w:val="00F84D19"/>
    <w:rsid w:val="00FA015F"/>
    <w:rsid w:val="00FA2B58"/>
    <w:rsid w:val="00FB43E4"/>
    <w:rsid w:val="00FB6C57"/>
    <w:rsid w:val="00FC3F01"/>
    <w:rsid w:val="00FC49E7"/>
    <w:rsid w:val="00FC5591"/>
    <w:rsid w:val="00FC683F"/>
    <w:rsid w:val="00FD3F56"/>
    <w:rsid w:val="00FF01D4"/>
    <w:rsid w:val="00FF068C"/>
    <w:rsid w:val="00FF3F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EBE49BE"/>
  <w15:chartTrackingRefBased/>
  <w15:docId w15:val="{393243D7-08AB-4BDC-BD74-7CD16D43E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uiPriority="0" w:qFormat="1"/>
    <w:lsdException w:name="heading 3" w:uiPriority="0" w:qFormat="1"/>
    <w:lsdException w:name="heading 4" w:semiHidden="1" w:uiPriority="0" w:qFormat="1"/>
    <w:lsdException w:name="heading 5" w:semiHidden="1" w:uiPriority="0" w:qFormat="1"/>
    <w:lsdException w:name="heading 6" w:semiHidden="1" w:uiPriority="0" w:qFormat="1"/>
    <w:lsdException w:name="heading 7" w:semiHidden="1" w:uiPriority="0" w:qFormat="1"/>
    <w:lsdException w:name="heading 8" w:semiHidden="1" w:uiPriority="0" w:qFormat="1"/>
    <w:lsdException w:name="heading 9" w:semiHidden="1" w:uiPriority="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semiHidden="1" w:uiPriority="39"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iPriority="0" w:qFormat="1"/>
    <w:lsdException w:name="annotation text" w:semiHidden="1"/>
    <w:lsdException w:name="index heading" w:semiHidden="1"/>
    <w:lsdException w:name="caption" w:semiHidden="1" w:uiPriority="0" w:qFormat="1"/>
    <w:lsdException w:name="table of figures" w:semiHidden="1"/>
    <w:lsdException w:name="envelope address" w:semiHidden="1"/>
    <w:lsdException w:name="envelope return" w:semiHidden="1"/>
    <w:lsdException w:name="footnote reference" w:semiHidden="1" w:uiPriority="0"/>
    <w:lsdException w:name="annotation reference" w:semiHidden="1" w:uiPriority="0"/>
    <w:lsdException w:name="line number" w:semiHidden="1"/>
    <w:lsdException w:name="page number" w:semiHidden="1"/>
    <w:lsdException w:name="endnote reference" w:semiHidden="1" w:uiPriority="0" w:unhideWhenUsed="1"/>
    <w:lsdException w:name="endnote text" w:semiHidden="1" w:uiPriority="0" w:unhideWhenUsed="1"/>
    <w:lsdException w:name="table of authorities" w:semiHidden="1"/>
    <w:lsdException w:name="macro" w:semiHidden="1"/>
    <w:lsdException w:name="toa heading" w:semiHidden="1"/>
    <w:lsdException w:name="List" w:semiHidden="1" w:qFormat="1"/>
    <w:lsdException w:name="List Bullet" w:uiPriority="0" w:qFormat="1"/>
    <w:lsdException w:name="List Number" w:uiPriority="2" w:qFormat="1"/>
    <w:lsdException w:name="List 2" w:semiHidden="1"/>
    <w:lsdException w:name="List 3" w:semiHidden="1"/>
    <w:lsdException w:name="List 4" w:semiHidden="1"/>
    <w:lsdException w:name="List 5" w:semiHidden="1"/>
    <w:lsdException w:name="List Bullet 2" w:uiPriority="0" w:qFormat="1"/>
    <w:lsdException w:name="List Bullet 3" w:semiHidden="1" w:uiPriority="0"/>
    <w:lsdException w:name="List Bullet 4" w:semiHidden="1" w:uiPriority="0"/>
    <w:lsdException w:name="List Bullet 5" w:semiHidden="1" w:uiPriority="0"/>
    <w:lsdException w:name="List Number 2" w:uiPriority="1"/>
    <w:lsdException w:name="List Number 3" w:uiPriority="1"/>
    <w:lsdException w:name="List Number 4" w:semiHidden="1"/>
    <w:lsdException w:name="List Number 5" w:semiHidden="1"/>
    <w:lsdException w:name="Title" w:uiPriority="0" w:qFormat="1"/>
    <w:lsdException w:name="Closing" w:semiHidden="1"/>
    <w:lsdException w:name="Signature" w:semiHidden="1"/>
    <w:lsdException w:name="Default Paragraph Font" w:semiHidden="1" w:uiPriority="1" w:unhideWhenUsed="1"/>
    <w:lsdException w:name="Body Text" w:uiPriority="0" w:qFormat="1"/>
    <w:lsdException w:name="Body Text Indent"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alutation" w:semiHidden="1"/>
    <w:lsdException w:name="Date" w:uiPriority="0"/>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qFormat="1"/>
    <w:lsdException w:name="FollowedHyperlink" w:uiPriority="0"/>
    <w:lsdException w:name="Strong" w:semiHidden="1" w:uiPriority="22" w:qFormat="1"/>
    <w:lsdException w:name="Emphasis" w:semiHidden="1"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semiHidden/>
    <w:rsid w:val="00833BF6"/>
    <w:rPr>
      <w:sz w:val="22"/>
      <w:szCs w:val="24"/>
      <w:lang w:eastAsia="en-US"/>
    </w:rPr>
  </w:style>
  <w:style w:type="paragraph" w:styleId="Heading1">
    <w:name w:val="heading 1"/>
    <w:next w:val="BodyText"/>
    <w:link w:val="Heading1Char"/>
    <w:qFormat/>
    <w:rsid w:val="00AC790D"/>
    <w:pPr>
      <w:keepNext/>
      <w:keepLines/>
      <w:pageBreakBefore/>
      <w:spacing w:after="300"/>
      <w:outlineLvl w:val="0"/>
    </w:pPr>
    <w:rPr>
      <w:rFonts w:eastAsiaTheme="majorEastAsia" w:cstheme="majorBidi"/>
      <w:b/>
      <w:bCs/>
      <w:color w:val="323157"/>
      <w:sz w:val="40"/>
      <w:szCs w:val="32"/>
      <w:lang w:eastAsia="en-US"/>
    </w:rPr>
  </w:style>
  <w:style w:type="paragraph" w:styleId="Heading2">
    <w:name w:val="heading 2"/>
    <w:basedOn w:val="Heading1"/>
    <w:next w:val="BodyText"/>
    <w:link w:val="Heading2Char"/>
    <w:qFormat/>
    <w:rsid w:val="00AC790D"/>
    <w:pPr>
      <w:pageBreakBefore w:val="0"/>
      <w:spacing w:before="240" w:after="240" w:line="400" w:lineRule="atLeast"/>
      <w:contextualSpacing/>
      <w:outlineLvl w:val="1"/>
    </w:pPr>
    <w:rPr>
      <w:bCs w:val="0"/>
      <w:iCs/>
      <w:sz w:val="28"/>
      <w:szCs w:val="28"/>
    </w:rPr>
  </w:style>
  <w:style w:type="paragraph" w:styleId="Heading3">
    <w:name w:val="heading 3"/>
    <w:basedOn w:val="Heading1"/>
    <w:next w:val="BodyText"/>
    <w:link w:val="Heading3Char"/>
    <w:qFormat/>
    <w:rsid w:val="009B0299"/>
    <w:pPr>
      <w:pageBreakBefore w:val="0"/>
      <w:spacing w:before="240" w:after="120"/>
      <w:outlineLvl w:val="2"/>
    </w:pPr>
    <w:rPr>
      <w:bCs w:val="0"/>
      <w:sz w:val="24"/>
      <w:szCs w:val="26"/>
    </w:rPr>
  </w:style>
  <w:style w:type="paragraph" w:styleId="Heading4">
    <w:name w:val="heading 4"/>
    <w:basedOn w:val="Normal"/>
    <w:next w:val="Normal"/>
    <w:link w:val="Heading4Char"/>
    <w:qFormat/>
    <w:rsid w:val="003410B9"/>
    <w:pPr>
      <w:keepNext/>
      <w:keepLines/>
      <w:spacing w:before="40" w:after="220"/>
      <w:outlineLvl w:val="3"/>
    </w:pPr>
    <w:rPr>
      <w:rFonts w:eastAsiaTheme="majorEastAsia" w:cs="Arial"/>
      <w:b/>
      <w:iCs/>
      <w:color w:val="252441" w:themeColor="accent1" w:themeShade="BF"/>
    </w:rPr>
  </w:style>
  <w:style w:type="paragraph" w:styleId="Heading5">
    <w:name w:val="heading 5"/>
    <w:basedOn w:val="Normal"/>
    <w:next w:val="Normal"/>
    <w:link w:val="Heading5Char"/>
    <w:qFormat/>
    <w:rsid w:val="003B0519"/>
    <w:pPr>
      <w:keepNext/>
      <w:keepLines/>
      <w:spacing w:before="40"/>
      <w:outlineLvl w:val="4"/>
    </w:pPr>
    <w:rPr>
      <w:rFonts w:asciiTheme="majorHAnsi" w:eastAsiaTheme="majorEastAsia" w:hAnsiTheme="majorHAnsi" w:cstheme="majorBidi"/>
      <w:color w:val="252441" w:themeColor="accent1" w:themeShade="BF"/>
    </w:rPr>
  </w:style>
  <w:style w:type="paragraph" w:styleId="Heading6">
    <w:name w:val="heading 6"/>
    <w:basedOn w:val="Normal"/>
    <w:next w:val="Normal"/>
    <w:link w:val="Heading6Char"/>
    <w:unhideWhenUsed/>
    <w:qFormat/>
    <w:rsid w:val="003B0519"/>
    <w:pPr>
      <w:numPr>
        <w:ilvl w:val="5"/>
        <w:numId w:val="6"/>
      </w:numPr>
      <w:spacing w:before="240" w:after="60" w:line="288" w:lineRule="auto"/>
      <w:outlineLvl w:val="5"/>
    </w:pPr>
    <w:rPr>
      <w:rFonts w:ascii="Calibri" w:eastAsia="Times New Roman" w:hAnsi="Calibri"/>
      <w:b/>
      <w:bCs/>
      <w:szCs w:val="22"/>
      <w:lang w:eastAsia="en-GB"/>
    </w:rPr>
  </w:style>
  <w:style w:type="paragraph" w:styleId="Heading7">
    <w:name w:val="heading 7"/>
    <w:basedOn w:val="Normal"/>
    <w:next w:val="Normal"/>
    <w:link w:val="Heading7Char"/>
    <w:semiHidden/>
    <w:unhideWhenUsed/>
    <w:qFormat/>
    <w:rsid w:val="003B0519"/>
    <w:pPr>
      <w:numPr>
        <w:ilvl w:val="6"/>
        <w:numId w:val="6"/>
      </w:numPr>
      <w:spacing w:before="240" w:after="60" w:line="288" w:lineRule="auto"/>
      <w:outlineLvl w:val="6"/>
    </w:pPr>
    <w:rPr>
      <w:rFonts w:ascii="Calibri" w:eastAsia="Times New Roman" w:hAnsi="Calibri"/>
      <w:lang w:eastAsia="en-GB"/>
    </w:rPr>
  </w:style>
  <w:style w:type="paragraph" w:styleId="Heading8">
    <w:name w:val="heading 8"/>
    <w:basedOn w:val="Normal"/>
    <w:next w:val="Normal"/>
    <w:link w:val="Heading8Char"/>
    <w:semiHidden/>
    <w:unhideWhenUsed/>
    <w:qFormat/>
    <w:rsid w:val="003B0519"/>
    <w:pPr>
      <w:numPr>
        <w:ilvl w:val="7"/>
        <w:numId w:val="6"/>
      </w:numPr>
      <w:spacing w:before="240" w:after="60" w:line="288" w:lineRule="auto"/>
      <w:outlineLvl w:val="7"/>
    </w:pPr>
    <w:rPr>
      <w:rFonts w:ascii="Calibri" w:eastAsia="Times New Roman" w:hAnsi="Calibri"/>
      <w:i/>
      <w:iCs/>
      <w:lang w:eastAsia="en-GB"/>
    </w:rPr>
  </w:style>
  <w:style w:type="paragraph" w:styleId="Heading9">
    <w:name w:val="heading 9"/>
    <w:basedOn w:val="Normal"/>
    <w:next w:val="Normal"/>
    <w:link w:val="Heading9Char"/>
    <w:semiHidden/>
    <w:unhideWhenUsed/>
    <w:qFormat/>
    <w:rsid w:val="003B0519"/>
    <w:pPr>
      <w:numPr>
        <w:ilvl w:val="8"/>
        <w:numId w:val="6"/>
      </w:numPr>
      <w:spacing w:before="240" w:after="60" w:line="288" w:lineRule="auto"/>
      <w:outlineLvl w:val="8"/>
    </w:pPr>
    <w:rPr>
      <w:rFonts w:ascii="Cambria" w:eastAsia="Times New Roman" w:hAnsi="Cambria"/>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link w:val="TitleChar"/>
    <w:qFormat/>
    <w:rsid w:val="00402226"/>
    <w:pPr>
      <w:spacing w:before="4400"/>
      <w:outlineLvl w:val="0"/>
    </w:pPr>
    <w:rPr>
      <w:rFonts w:eastAsiaTheme="majorEastAsia" w:cstheme="majorBidi"/>
      <w:b/>
      <w:bCs/>
      <w:color w:val="323157"/>
      <w:sz w:val="56"/>
      <w:szCs w:val="32"/>
      <w:lang w:eastAsia="en-US"/>
    </w:rPr>
  </w:style>
  <w:style w:type="character" w:customStyle="1" w:styleId="TitleChar">
    <w:name w:val="Title Char"/>
    <w:basedOn w:val="DefaultParagraphFont"/>
    <w:link w:val="Title"/>
    <w:rsid w:val="00402226"/>
    <w:rPr>
      <w:rFonts w:eastAsiaTheme="majorEastAsia" w:cstheme="majorBidi"/>
      <w:b/>
      <w:bCs/>
      <w:color w:val="323157"/>
      <w:sz w:val="56"/>
      <w:szCs w:val="32"/>
      <w:lang w:eastAsia="en-US"/>
    </w:rPr>
  </w:style>
  <w:style w:type="paragraph" w:styleId="BodyText">
    <w:name w:val="Body Text"/>
    <w:link w:val="BodyTextChar"/>
    <w:qFormat/>
    <w:rsid w:val="00AC790D"/>
    <w:pPr>
      <w:spacing w:after="240" w:line="300" w:lineRule="atLeast"/>
    </w:pPr>
    <w:rPr>
      <w:sz w:val="22"/>
      <w:szCs w:val="24"/>
      <w:lang w:eastAsia="en-US"/>
    </w:rPr>
  </w:style>
  <w:style w:type="character" w:customStyle="1" w:styleId="BodyTextChar">
    <w:name w:val="Body Text Char"/>
    <w:basedOn w:val="DefaultParagraphFont"/>
    <w:link w:val="BodyText"/>
    <w:rsid w:val="00AC790D"/>
    <w:rPr>
      <w:sz w:val="22"/>
      <w:szCs w:val="24"/>
      <w:lang w:eastAsia="en-US"/>
    </w:rPr>
  </w:style>
  <w:style w:type="character" w:customStyle="1" w:styleId="Heading1Char">
    <w:name w:val="Heading 1 Char"/>
    <w:basedOn w:val="DefaultParagraphFont"/>
    <w:link w:val="Heading1"/>
    <w:rsid w:val="00AC790D"/>
    <w:rPr>
      <w:rFonts w:eastAsiaTheme="majorEastAsia" w:cstheme="majorBidi"/>
      <w:b/>
      <w:bCs/>
      <w:color w:val="323157"/>
      <w:sz w:val="40"/>
      <w:szCs w:val="32"/>
      <w:lang w:eastAsia="en-US"/>
    </w:rPr>
  </w:style>
  <w:style w:type="character" w:customStyle="1" w:styleId="Heading2Char">
    <w:name w:val="Heading 2 Char"/>
    <w:basedOn w:val="DefaultParagraphFont"/>
    <w:link w:val="Heading2"/>
    <w:rsid w:val="00AC790D"/>
    <w:rPr>
      <w:rFonts w:eastAsiaTheme="majorEastAsia" w:cstheme="majorBidi"/>
      <w:b/>
      <w:iCs/>
      <w:color w:val="323157"/>
      <w:sz w:val="28"/>
      <w:szCs w:val="28"/>
      <w:lang w:eastAsia="en-US"/>
    </w:rPr>
  </w:style>
  <w:style w:type="character" w:customStyle="1" w:styleId="Heading3Char">
    <w:name w:val="Heading 3 Char"/>
    <w:basedOn w:val="DefaultParagraphFont"/>
    <w:link w:val="Heading3"/>
    <w:rsid w:val="009B0299"/>
    <w:rPr>
      <w:rFonts w:eastAsiaTheme="majorEastAsia" w:cstheme="majorBidi"/>
      <w:b/>
      <w:color w:val="323157"/>
      <w:sz w:val="24"/>
      <w:szCs w:val="26"/>
      <w:lang w:eastAsia="en-US"/>
    </w:rPr>
  </w:style>
  <w:style w:type="paragraph" w:styleId="BodyTextIndent">
    <w:name w:val="Body Text Indent"/>
    <w:basedOn w:val="BodyText"/>
    <w:link w:val="BodyTextIndentChar"/>
    <w:uiPriority w:val="1"/>
    <w:qFormat/>
    <w:rsid w:val="003A43E9"/>
    <w:pPr>
      <w:ind w:left="357"/>
    </w:pPr>
  </w:style>
  <w:style w:type="character" w:customStyle="1" w:styleId="BodyTextIndentChar">
    <w:name w:val="Body Text Indent Char"/>
    <w:basedOn w:val="DefaultParagraphFont"/>
    <w:link w:val="BodyTextIndent"/>
    <w:uiPriority w:val="1"/>
    <w:rsid w:val="00C60B19"/>
    <w:rPr>
      <w:sz w:val="22"/>
      <w:szCs w:val="24"/>
      <w:lang w:eastAsia="en-US"/>
    </w:rPr>
  </w:style>
  <w:style w:type="paragraph" w:styleId="ListNumber2">
    <w:name w:val="List Number 2"/>
    <w:basedOn w:val="BodyText"/>
    <w:uiPriority w:val="1"/>
    <w:rsid w:val="001A545C"/>
    <w:pPr>
      <w:numPr>
        <w:ilvl w:val="1"/>
        <w:numId w:val="5"/>
      </w:numPr>
    </w:pPr>
  </w:style>
  <w:style w:type="paragraph" w:styleId="ListBullet">
    <w:name w:val="List Bullet"/>
    <w:basedOn w:val="BodyText"/>
    <w:qFormat/>
    <w:rsid w:val="00546009"/>
    <w:pPr>
      <w:numPr>
        <w:numId w:val="1"/>
      </w:numPr>
      <w:tabs>
        <w:tab w:val="clear" w:pos="360"/>
      </w:tabs>
      <w:ind w:left="454" w:hanging="454"/>
    </w:pPr>
  </w:style>
  <w:style w:type="paragraph" w:styleId="ListBullet2">
    <w:name w:val="List Bullet 2"/>
    <w:basedOn w:val="ListBullet"/>
    <w:qFormat/>
    <w:rsid w:val="00546009"/>
    <w:pPr>
      <w:numPr>
        <w:numId w:val="2"/>
      </w:numPr>
      <w:ind w:left="908" w:hanging="454"/>
    </w:pPr>
  </w:style>
  <w:style w:type="paragraph" w:styleId="Subtitle">
    <w:name w:val="Subtitle"/>
    <w:next w:val="Date"/>
    <w:link w:val="SubtitleChar"/>
    <w:uiPriority w:val="99"/>
    <w:rsid w:val="00402226"/>
    <w:pPr>
      <w:spacing w:before="200"/>
      <w:outlineLvl w:val="1"/>
    </w:pPr>
    <w:rPr>
      <w:rFonts w:eastAsiaTheme="majorEastAsia" w:cstheme="majorBidi"/>
      <w:b/>
      <w:bCs/>
      <w:color w:val="323157"/>
      <w:sz w:val="36"/>
      <w:szCs w:val="32"/>
      <w:lang w:eastAsia="en-US"/>
    </w:rPr>
  </w:style>
  <w:style w:type="character" w:customStyle="1" w:styleId="SubtitleChar">
    <w:name w:val="Subtitle Char"/>
    <w:basedOn w:val="DefaultParagraphFont"/>
    <w:link w:val="Subtitle"/>
    <w:uiPriority w:val="99"/>
    <w:rsid w:val="00402226"/>
    <w:rPr>
      <w:rFonts w:eastAsiaTheme="majorEastAsia" w:cstheme="majorBidi"/>
      <w:b/>
      <w:bCs/>
      <w:color w:val="323157"/>
      <w:sz w:val="36"/>
      <w:szCs w:val="32"/>
      <w:lang w:eastAsia="en-US"/>
    </w:rPr>
  </w:style>
  <w:style w:type="paragraph" w:customStyle="1" w:styleId="Purpose">
    <w:name w:val="Purpose"/>
    <w:basedOn w:val="BodyText"/>
    <w:uiPriority w:val="99"/>
    <w:semiHidden/>
    <w:rsid w:val="00ED62D7"/>
    <w:rPr>
      <w:b/>
      <w:color w:val="323157"/>
    </w:rPr>
  </w:style>
  <w:style w:type="paragraph" w:styleId="Date">
    <w:name w:val="Date"/>
    <w:basedOn w:val="BodyText"/>
    <w:next w:val="BodyText"/>
    <w:link w:val="DateChar"/>
    <w:rsid w:val="00402226"/>
    <w:pPr>
      <w:spacing w:before="200"/>
    </w:pPr>
    <w:rPr>
      <w:color w:val="323157"/>
      <w:sz w:val="24"/>
    </w:rPr>
  </w:style>
  <w:style w:type="character" w:customStyle="1" w:styleId="DateChar">
    <w:name w:val="Date Char"/>
    <w:basedOn w:val="DefaultParagraphFont"/>
    <w:link w:val="Date"/>
    <w:rsid w:val="00402226"/>
    <w:rPr>
      <w:color w:val="323157"/>
      <w:sz w:val="24"/>
      <w:szCs w:val="24"/>
      <w:lang w:eastAsia="en-US"/>
    </w:rPr>
  </w:style>
  <w:style w:type="paragraph" w:customStyle="1" w:styleId="Action">
    <w:name w:val="Action"/>
    <w:basedOn w:val="BodyText"/>
    <w:uiPriority w:val="99"/>
    <w:semiHidden/>
    <w:rsid w:val="00ED62D7"/>
    <w:rPr>
      <w:b/>
      <w:color w:val="323157"/>
    </w:rPr>
  </w:style>
  <w:style w:type="paragraph" w:customStyle="1" w:styleId="ReferenceNumbercover">
    <w:name w:val="Reference Number (cover)"/>
    <w:basedOn w:val="BodyText"/>
    <w:next w:val="BodyText"/>
    <w:uiPriority w:val="99"/>
    <w:semiHidden/>
    <w:rsid w:val="00402226"/>
    <w:pPr>
      <w:spacing w:before="60"/>
    </w:pPr>
    <w:rPr>
      <w:color w:val="323157"/>
      <w:sz w:val="20"/>
    </w:rPr>
  </w:style>
  <w:style w:type="character" w:styleId="Hyperlink">
    <w:name w:val="Hyperlink"/>
    <w:uiPriority w:val="99"/>
    <w:qFormat/>
    <w:rsid w:val="00833BF6"/>
    <w:rPr>
      <w:b w:val="0"/>
      <w:color w:val="auto"/>
      <w:u w:val="none"/>
    </w:rPr>
  </w:style>
  <w:style w:type="character" w:styleId="FollowedHyperlink">
    <w:name w:val="FollowedHyperlink"/>
    <w:basedOn w:val="Hyperlink"/>
    <w:semiHidden/>
    <w:rsid w:val="00833BF6"/>
    <w:rPr>
      <w:b w:val="0"/>
      <w:color w:val="auto"/>
      <w:u w:val="none"/>
    </w:rPr>
  </w:style>
  <w:style w:type="paragraph" w:customStyle="1" w:styleId="BoxedBlueHeading">
    <w:name w:val="Boxed Blue – Heading"/>
    <w:next w:val="BoxedBlueText"/>
    <w:uiPriority w:val="2"/>
    <w:qFormat/>
    <w:rsid w:val="005C4A0D"/>
    <w:pPr>
      <w:pBdr>
        <w:top w:val="single" w:sz="4" w:space="12" w:color="323157"/>
        <w:left w:val="single" w:sz="4" w:space="12" w:color="323157"/>
        <w:bottom w:val="single" w:sz="4" w:space="12" w:color="323157"/>
        <w:right w:val="single" w:sz="4" w:space="12" w:color="323157"/>
      </w:pBdr>
      <w:shd w:val="clear" w:color="auto" w:fill="323157"/>
      <w:spacing w:after="240" w:line="300" w:lineRule="atLeast"/>
      <w:ind w:left="267" w:right="267"/>
    </w:pPr>
    <w:rPr>
      <w:b/>
      <w:color w:val="FFFFFF" w:themeColor="background1"/>
      <w:sz w:val="22"/>
      <w:szCs w:val="24"/>
      <w:lang w:eastAsia="en-US"/>
    </w:rPr>
  </w:style>
  <w:style w:type="paragraph" w:customStyle="1" w:styleId="BoxedBlueText">
    <w:name w:val="Boxed Blue – Text"/>
    <w:basedOn w:val="BoxedBlueHeading"/>
    <w:uiPriority w:val="2"/>
    <w:qFormat/>
    <w:rsid w:val="001262A3"/>
    <w:rPr>
      <w:b w:val="0"/>
    </w:rPr>
  </w:style>
  <w:style w:type="paragraph" w:customStyle="1" w:styleId="BoxedBlueBullet">
    <w:name w:val="Boxed Blue – Bullet"/>
    <w:basedOn w:val="BoxedBlueHeading"/>
    <w:uiPriority w:val="3"/>
    <w:qFormat/>
    <w:rsid w:val="001262A3"/>
    <w:pPr>
      <w:numPr>
        <w:numId w:val="3"/>
      </w:numPr>
      <w:ind w:left="624" w:hanging="357"/>
    </w:pPr>
    <w:rPr>
      <w:b w:val="0"/>
    </w:rPr>
  </w:style>
  <w:style w:type="paragraph" w:customStyle="1" w:styleId="BoxedYellowHeading">
    <w:name w:val="Boxed Yellow – Heading"/>
    <w:next w:val="BoxedYellowText"/>
    <w:uiPriority w:val="3"/>
    <w:qFormat/>
    <w:rsid w:val="005C4A0D"/>
    <w:pPr>
      <w:pBdr>
        <w:top w:val="single" w:sz="4" w:space="12" w:color="FFCF01"/>
        <w:left w:val="single" w:sz="4" w:space="12" w:color="FFCF01"/>
        <w:bottom w:val="single" w:sz="4" w:space="12" w:color="FFCF01"/>
        <w:right w:val="single" w:sz="4" w:space="12" w:color="FFCF01"/>
      </w:pBdr>
      <w:shd w:val="clear" w:color="auto" w:fill="FFCF01"/>
      <w:spacing w:after="240" w:line="300" w:lineRule="atLeast"/>
      <w:ind w:left="267" w:right="267"/>
    </w:pPr>
    <w:rPr>
      <w:b/>
      <w:sz w:val="22"/>
      <w:szCs w:val="24"/>
      <w:lang w:eastAsia="en-US"/>
    </w:rPr>
  </w:style>
  <w:style w:type="paragraph" w:customStyle="1" w:styleId="BoxedYellowText">
    <w:name w:val="Boxed Yellow – Text"/>
    <w:basedOn w:val="BoxedYellowHeading"/>
    <w:uiPriority w:val="3"/>
    <w:qFormat/>
    <w:rsid w:val="00E74514"/>
    <w:rPr>
      <w:b w:val="0"/>
    </w:rPr>
  </w:style>
  <w:style w:type="paragraph" w:customStyle="1" w:styleId="BoxedYellowBullet">
    <w:name w:val="Boxed Yellow – Bullet"/>
    <w:basedOn w:val="BoxedYellowHeading"/>
    <w:uiPriority w:val="4"/>
    <w:qFormat/>
    <w:rsid w:val="001262A3"/>
    <w:pPr>
      <w:numPr>
        <w:numId w:val="4"/>
      </w:numPr>
      <w:ind w:left="624" w:hanging="357"/>
    </w:pPr>
    <w:rPr>
      <w:b w:val="0"/>
    </w:rPr>
  </w:style>
  <w:style w:type="paragraph" w:styleId="TOCHeading">
    <w:name w:val="TOC Heading"/>
    <w:basedOn w:val="Heading1"/>
    <w:next w:val="BodyText"/>
    <w:uiPriority w:val="39"/>
    <w:qFormat/>
    <w:rsid w:val="00324CFE"/>
    <w:pPr>
      <w:outlineLvl w:val="9"/>
    </w:pPr>
    <w:rPr>
      <w:bCs w:val="0"/>
    </w:rPr>
  </w:style>
  <w:style w:type="paragraph" w:styleId="FootnoteText">
    <w:name w:val="footnote text"/>
    <w:basedOn w:val="BodyText"/>
    <w:link w:val="FootnoteTextChar"/>
    <w:qFormat/>
    <w:rsid w:val="00324CFE"/>
    <w:pPr>
      <w:ind w:left="227" w:hanging="227"/>
    </w:pPr>
    <w:rPr>
      <w:sz w:val="20"/>
      <w:szCs w:val="20"/>
    </w:rPr>
  </w:style>
  <w:style w:type="character" w:customStyle="1" w:styleId="FootnoteTextChar">
    <w:name w:val="Footnote Text Char"/>
    <w:basedOn w:val="DefaultParagraphFont"/>
    <w:link w:val="FootnoteText"/>
    <w:rsid w:val="00324CFE"/>
    <w:rPr>
      <w:lang w:eastAsia="en-US"/>
    </w:rPr>
  </w:style>
  <w:style w:type="character" w:styleId="FootnoteReference">
    <w:name w:val="footnote reference"/>
    <w:basedOn w:val="DefaultParagraphFont"/>
    <w:rsid w:val="00324CFE"/>
    <w:rPr>
      <w:vertAlign w:val="superscript"/>
    </w:rPr>
  </w:style>
  <w:style w:type="paragraph" w:styleId="Header">
    <w:name w:val="header"/>
    <w:basedOn w:val="BodyText"/>
    <w:link w:val="HeaderChar"/>
    <w:uiPriority w:val="99"/>
    <w:rsid w:val="00820397"/>
    <w:rPr>
      <w:sz w:val="20"/>
    </w:rPr>
  </w:style>
  <w:style w:type="character" w:customStyle="1" w:styleId="HeaderChar">
    <w:name w:val="Header Char"/>
    <w:basedOn w:val="DefaultParagraphFont"/>
    <w:link w:val="Header"/>
    <w:uiPriority w:val="99"/>
    <w:rsid w:val="00E519A8"/>
    <w:rPr>
      <w:szCs w:val="24"/>
      <w:lang w:eastAsia="en-US"/>
    </w:rPr>
  </w:style>
  <w:style w:type="paragraph" w:styleId="Footer">
    <w:name w:val="footer"/>
    <w:basedOn w:val="BodyText"/>
    <w:link w:val="FooterChar"/>
    <w:uiPriority w:val="99"/>
    <w:rsid w:val="0004591E"/>
    <w:pPr>
      <w:tabs>
        <w:tab w:val="right" w:pos="10093"/>
      </w:tabs>
      <w:spacing w:after="0" w:line="240" w:lineRule="auto"/>
    </w:pPr>
    <w:rPr>
      <w:sz w:val="20"/>
    </w:rPr>
  </w:style>
  <w:style w:type="character" w:customStyle="1" w:styleId="FooterChar">
    <w:name w:val="Footer Char"/>
    <w:basedOn w:val="DefaultParagraphFont"/>
    <w:link w:val="Footer"/>
    <w:uiPriority w:val="99"/>
    <w:rsid w:val="00E519A8"/>
    <w:rPr>
      <w:szCs w:val="24"/>
      <w:lang w:eastAsia="en-US"/>
    </w:rPr>
  </w:style>
  <w:style w:type="table" w:styleId="TableGrid">
    <w:name w:val="Table Grid"/>
    <w:basedOn w:val="TableNormal"/>
    <w:rsid w:val="009B02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rPr>
      <w:cantSplit/>
    </w:trPr>
    <w:tblStylePr w:type="firstRow">
      <w:tblPr/>
      <w:trPr>
        <w:cantSplit w:val="0"/>
        <w:tblHeader/>
      </w:trPr>
      <w:tcPr>
        <w:tcMar>
          <w:top w:w="113" w:type="dxa"/>
          <w:left w:w="57" w:type="dxa"/>
          <w:bottom w:w="113" w:type="dxa"/>
          <w:right w:w="57" w:type="dxa"/>
        </w:tcMar>
      </w:tcPr>
    </w:tblStylePr>
  </w:style>
  <w:style w:type="paragraph" w:customStyle="1" w:styleId="TD">
    <w:name w:val="TD"/>
    <w:basedOn w:val="BodyText"/>
    <w:uiPriority w:val="99"/>
    <w:rsid w:val="005C4A0D"/>
    <w:pPr>
      <w:spacing w:after="0" w:line="240" w:lineRule="auto"/>
    </w:pPr>
  </w:style>
  <w:style w:type="paragraph" w:customStyle="1" w:styleId="TH">
    <w:name w:val="TH"/>
    <w:basedOn w:val="BodyText"/>
    <w:uiPriority w:val="99"/>
    <w:rsid w:val="00451152"/>
    <w:pPr>
      <w:spacing w:after="0" w:line="240" w:lineRule="auto"/>
    </w:pPr>
    <w:rPr>
      <w:color w:val="FFFFFF" w:themeColor="background1"/>
    </w:rPr>
  </w:style>
  <w:style w:type="paragraph" w:styleId="ListNumber">
    <w:name w:val="List Number"/>
    <w:basedOn w:val="BodyText"/>
    <w:uiPriority w:val="1"/>
    <w:qFormat/>
    <w:rsid w:val="001A545C"/>
    <w:pPr>
      <w:numPr>
        <w:numId w:val="5"/>
      </w:numPr>
    </w:pPr>
  </w:style>
  <w:style w:type="paragraph" w:styleId="ListNumber3">
    <w:name w:val="List Number 3"/>
    <w:basedOn w:val="BodyText"/>
    <w:uiPriority w:val="1"/>
    <w:rsid w:val="001A545C"/>
    <w:pPr>
      <w:numPr>
        <w:ilvl w:val="2"/>
        <w:numId w:val="5"/>
      </w:numPr>
    </w:pPr>
  </w:style>
  <w:style w:type="numbering" w:customStyle="1" w:styleId="OrderedList">
    <w:name w:val="Ordered List"/>
    <w:uiPriority w:val="99"/>
    <w:rsid w:val="001A545C"/>
    <w:pPr>
      <w:numPr>
        <w:numId w:val="5"/>
      </w:numPr>
    </w:pPr>
  </w:style>
  <w:style w:type="paragraph" w:styleId="TOC1">
    <w:name w:val="toc 1"/>
    <w:basedOn w:val="BodyText"/>
    <w:uiPriority w:val="39"/>
    <w:qFormat/>
    <w:rsid w:val="00833BF6"/>
    <w:pPr>
      <w:spacing w:before="240" w:after="120"/>
    </w:pPr>
    <w:rPr>
      <w:b/>
    </w:rPr>
  </w:style>
  <w:style w:type="paragraph" w:styleId="TOC2">
    <w:name w:val="toc 2"/>
    <w:basedOn w:val="TOC1"/>
    <w:uiPriority w:val="39"/>
    <w:qFormat/>
    <w:rsid w:val="00833BF6"/>
    <w:pPr>
      <w:spacing w:before="0"/>
    </w:pPr>
    <w:rPr>
      <w:b w:val="0"/>
    </w:rPr>
  </w:style>
  <w:style w:type="paragraph" w:styleId="BalloonText">
    <w:name w:val="Balloon Text"/>
    <w:basedOn w:val="Normal"/>
    <w:link w:val="BalloonTextChar"/>
    <w:uiPriority w:val="99"/>
    <w:semiHidden/>
    <w:rsid w:val="00100D1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0D1E"/>
    <w:rPr>
      <w:rFonts w:ascii="Segoe UI" w:hAnsi="Segoe UI" w:cs="Segoe UI"/>
      <w:sz w:val="18"/>
      <w:szCs w:val="18"/>
      <w:lang w:eastAsia="en-US"/>
    </w:rPr>
  </w:style>
  <w:style w:type="character" w:styleId="CommentReference">
    <w:name w:val="annotation reference"/>
    <w:basedOn w:val="DefaultParagraphFont"/>
    <w:rsid w:val="00100D1E"/>
    <w:rPr>
      <w:sz w:val="16"/>
      <w:szCs w:val="16"/>
    </w:rPr>
  </w:style>
  <w:style w:type="paragraph" w:styleId="CommentText">
    <w:name w:val="annotation text"/>
    <w:basedOn w:val="Normal"/>
    <w:link w:val="CommentTextChar"/>
    <w:uiPriority w:val="99"/>
    <w:rsid w:val="00100D1E"/>
    <w:rPr>
      <w:sz w:val="20"/>
      <w:szCs w:val="20"/>
    </w:rPr>
  </w:style>
  <w:style w:type="character" w:customStyle="1" w:styleId="CommentTextChar">
    <w:name w:val="Comment Text Char"/>
    <w:basedOn w:val="DefaultParagraphFont"/>
    <w:link w:val="CommentText"/>
    <w:uiPriority w:val="99"/>
    <w:rsid w:val="00100D1E"/>
    <w:rPr>
      <w:lang w:eastAsia="en-US"/>
    </w:rPr>
  </w:style>
  <w:style w:type="paragraph" w:styleId="CommentSubject">
    <w:name w:val="annotation subject"/>
    <w:basedOn w:val="CommentText"/>
    <w:next w:val="CommentText"/>
    <w:link w:val="CommentSubjectChar"/>
    <w:uiPriority w:val="99"/>
    <w:semiHidden/>
    <w:rsid w:val="00100D1E"/>
    <w:rPr>
      <w:b/>
      <w:bCs/>
    </w:rPr>
  </w:style>
  <w:style w:type="character" w:customStyle="1" w:styleId="CommentSubjectChar">
    <w:name w:val="Comment Subject Char"/>
    <w:basedOn w:val="CommentTextChar"/>
    <w:link w:val="CommentSubject"/>
    <w:uiPriority w:val="99"/>
    <w:semiHidden/>
    <w:rsid w:val="00100D1E"/>
    <w:rPr>
      <w:b/>
      <w:bCs/>
      <w:lang w:eastAsia="en-US"/>
    </w:rPr>
  </w:style>
  <w:style w:type="paragraph" w:customStyle="1" w:styleId="SubtitleText">
    <w:name w:val="SubtitleText"/>
    <w:basedOn w:val="Normal"/>
    <w:link w:val="SubtitleTextChar"/>
    <w:unhideWhenUsed/>
    <w:qFormat/>
    <w:rsid w:val="000C5B6E"/>
    <w:pPr>
      <w:spacing w:after="1520"/>
    </w:pPr>
    <w:rPr>
      <w:rFonts w:asciiTheme="minorHAnsi" w:eastAsia="Times New Roman" w:hAnsiTheme="minorHAnsi" w:cs="Arial"/>
      <w:b/>
      <w:bCs/>
      <w:color w:val="104F75"/>
      <w:sz w:val="48"/>
      <w:szCs w:val="48"/>
      <w:lang w:eastAsia="en-GB"/>
    </w:rPr>
  </w:style>
  <w:style w:type="character" w:customStyle="1" w:styleId="SubtitleTextChar">
    <w:name w:val="SubtitleText Char"/>
    <w:link w:val="SubtitleText"/>
    <w:rsid w:val="000C5B6E"/>
    <w:rPr>
      <w:rFonts w:asciiTheme="minorHAnsi" w:eastAsia="Times New Roman" w:hAnsiTheme="minorHAnsi" w:cs="Arial"/>
      <w:b/>
      <w:bCs/>
      <w:color w:val="104F75"/>
      <w:sz w:val="48"/>
      <w:szCs w:val="48"/>
    </w:rPr>
  </w:style>
  <w:style w:type="character" w:customStyle="1" w:styleId="Heading4Char">
    <w:name w:val="Heading 4 Char"/>
    <w:basedOn w:val="DefaultParagraphFont"/>
    <w:link w:val="Heading4"/>
    <w:rsid w:val="003410B9"/>
    <w:rPr>
      <w:rFonts w:eastAsiaTheme="majorEastAsia" w:cs="Arial"/>
      <w:b/>
      <w:iCs/>
      <w:color w:val="252441" w:themeColor="accent1" w:themeShade="BF"/>
      <w:sz w:val="22"/>
      <w:szCs w:val="24"/>
      <w:lang w:eastAsia="en-US"/>
    </w:rPr>
  </w:style>
  <w:style w:type="character" w:customStyle="1" w:styleId="Heading5Char">
    <w:name w:val="Heading 5 Char"/>
    <w:basedOn w:val="DefaultParagraphFont"/>
    <w:link w:val="Heading5"/>
    <w:rsid w:val="003B0519"/>
    <w:rPr>
      <w:rFonts w:asciiTheme="majorHAnsi" w:eastAsiaTheme="majorEastAsia" w:hAnsiTheme="majorHAnsi" w:cstheme="majorBidi"/>
      <w:color w:val="252441" w:themeColor="accent1" w:themeShade="BF"/>
      <w:sz w:val="22"/>
      <w:szCs w:val="24"/>
      <w:lang w:eastAsia="en-US"/>
    </w:rPr>
  </w:style>
  <w:style w:type="character" w:customStyle="1" w:styleId="Heading6Char">
    <w:name w:val="Heading 6 Char"/>
    <w:basedOn w:val="DefaultParagraphFont"/>
    <w:link w:val="Heading6"/>
    <w:rsid w:val="003B0519"/>
    <w:rPr>
      <w:rFonts w:ascii="Calibri" w:eastAsia="Times New Roman" w:hAnsi="Calibri"/>
      <w:b/>
      <w:bCs/>
      <w:sz w:val="22"/>
      <w:szCs w:val="22"/>
    </w:rPr>
  </w:style>
  <w:style w:type="character" w:customStyle="1" w:styleId="Heading7Char">
    <w:name w:val="Heading 7 Char"/>
    <w:basedOn w:val="DefaultParagraphFont"/>
    <w:link w:val="Heading7"/>
    <w:semiHidden/>
    <w:rsid w:val="003B0519"/>
    <w:rPr>
      <w:rFonts w:ascii="Calibri" w:eastAsia="Times New Roman" w:hAnsi="Calibri"/>
      <w:sz w:val="22"/>
      <w:szCs w:val="24"/>
    </w:rPr>
  </w:style>
  <w:style w:type="character" w:customStyle="1" w:styleId="Heading8Char">
    <w:name w:val="Heading 8 Char"/>
    <w:basedOn w:val="DefaultParagraphFont"/>
    <w:link w:val="Heading8"/>
    <w:semiHidden/>
    <w:rsid w:val="003B0519"/>
    <w:rPr>
      <w:rFonts w:ascii="Calibri" w:eastAsia="Times New Roman" w:hAnsi="Calibri"/>
      <w:i/>
      <w:iCs/>
      <w:sz w:val="22"/>
      <w:szCs w:val="24"/>
    </w:rPr>
  </w:style>
  <w:style w:type="character" w:customStyle="1" w:styleId="Heading9Char">
    <w:name w:val="Heading 9 Char"/>
    <w:basedOn w:val="DefaultParagraphFont"/>
    <w:link w:val="Heading9"/>
    <w:semiHidden/>
    <w:rsid w:val="003B0519"/>
    <w:rPr>
      <w:rFonts w:ascii="Cambria" w:eastAsia="Times New Roman" w:hAnsi="Cambria"/>
      <w:sz w:val="22"/>
      <w:szCs w:val="22"/>
    </w:rPr>
  </w:style>
  <w:style w:type="paragraph" w:customStyle="1" w:styleId="TitleText">
    <w:name w:val="TitleText"/>
    <w:basedOn w:val="Normal"/>
    <w:link w:val="TitleTextChar"/>
    <w:unhideWhenUsed/>
    <w:qFormat/>
    <w:rsid w:val="003B0519"/>
    <w:pPr>
      <w:spacing w:before="3600" w:after="240"/>
    </w:pPr>
    <w:rPr>
      <w:rFonts w:asciiTheme="minorHAnsi" w:eastAsia="Times New Roman" w:hAnsiTheme="minorHAnsi" w:cs="Arial"/>
      <w:b/>
      <w:color w:val="104F75"/>
      <w:sz w:val="92"/>
      <w:szCs w:val="92"/>
      <w:lang w:eastAsia="en-GB"/>
    </w:rPr>
  </w:style>
  <w:style w:type="character" w:customStyle="1" w:styleId="TitleTextChar">
    <w:name w:val="TitleText Char"/>
    <w:link w:val="TitleText"/>
    <w:rsid w:val="003B0519"/>
    <w:rPr>
      <w:rFonts w:asciiTheme="minorHAnsi" w:eastAsia="Times New Roman" w:hAnsiTheme="minorHAnsi" w:cs="Arial"/>
      <w:b/>
      <w:color w:val="104F75"/>
      <w:sz w:val="92"/>
      <w:szCs w:val="92"/>
    </w:rPr>
  </w:style>
  <w:style w:type="paragraph" w:styleId="TOC3">
    <w:name w:val="toc 3"/>
    <w:basedOn w:val="Normal"/>
    <w:next w:val="Normal"/>
    <w:autoRedefine/>
    <w:uiPriority w:val="39"/>
    <w:unhideWhenUsed/>
    <w:qFormat/>
    <w:rsid w:val="003B0519"/>
    <w:pPr>
      <w:tabs>
        <w:tab w:val="right" w:pos="9498"/>
      </w:tabs>
      <w:spacing w:after="120" w:line="288" w:lineRule="auto"/>
      <w:ind w:left="482"/>
    </w:pPr>
    <w:rPr>
      <w:rFonts w:asciiTheme="minorHAnsi" w:eastAsia="Times New Roman" w:hAnsiTheme="minorHAnsi"/>
      <w:noProof/>
      <w:lang w:eastAsia="en-GB"/>
    </w:rPr>
  </w:style>
  <w:style w:type="paragraph" w:customStyle="1" w:styleId="CopyrightBox">
    <w:name w:val="CopyrightBox"/>
    <w:basedOn w:val="Normal"/>
    <w:link w:val="CopyrightBoxChar"/>
    <w:unhideWhenUsed/>
    <w:qFormat/>
    <w:rsid w:val="003B0519"/>
    <w:pPr>
      <w:spacing w:after="240" w:line="288" w:lineRule="auto"/>
    </w:pPr>
    <w:rPr>
      <w:rFonts w:asciiTheme="minorHAnsi" w:eastAsia="Times New Roman" w:hAnsiTheme="minorHAnsi"/>
      <w:lang w:eastAsia="en-GB"/>
    </w:rPr>
  </w:style>
  <w:style w:type="character" w:customStyle="1" w:styleId="CopyrightBoxChar">
    <w:name w:val="CopyrightBox Char"/>
    <w:link w:val="CopyrightBox"/>
    <w:rsid w:val="003B0519"/>
    <w:rPr>
      <w:rFonts w:asciiTheme="minorHAnsi" w:eastAsia="Times New Roman" w:hAnsiTheme="minorHAnsi"/>
      <w:sz w:val="22"/>
      <w:szCs w:val="24"/>
    </w:rPr>
  </w:style>
  <w:style w:type="paragraph" w:customStyle="1" w:styleId="CopyrightSpacing">
    <w:name w:val="CopyrightSpacing"/>
    <w:basedOn w:val="Normal"/>
    <w:link w:val="CopyrightSpacingChar"/>
    <w:unhideWhenUsed/>
    <w:rsid w:val="003B0519"/>
    <w:pPr>
      <w:spacing w:before="6000" w:after="120" w:line="288" w:lineRule="auto"/>
    </w:pPr>
    <w:rPr>
      <w:rFonts w:asciiTheme="minorHAnsi" w:eastAsia="Times New Roman" w:hAnsiTheme="minorHAnsi"/>
      <w:lang w:eastAsia="en-GB"/>
    </w:rPr>
  </w:style>
  <w:style w:type="character" w:customStyle="1" w:styleId="CopyrightSpacingChar">
    <w:name w:val="CopyrightSpacing Char"/>
    <w:link w:val="CopyrightSpacing"/>
    <w:rsid w:val="003B0519"/>
    <w:rPr>
      <w:rFonts w:asciiTheme="minorHAnsi" w:eastAsia="Times New Roman" w:hAnsiTheme="minorHAnsi"/>
      <w:sz w:val="22"/>
      <w:szCs w:val="24"/>
    </w:rPr>
  </w:style>
  <w:style w:type="paragraph" w:styleId="TableofFigures">
    <w:name w:val="table of figures"/>
    <w:basedOn w:val="Normal"/>
    <w:next w:val="Normal"/>
    <w:uiPriority w:val="99"/>
    <w:unhideWhenUsed/>
    <w:rsid w:val="003B0519"/>
    <w:pPr>
      <w:spacing w:after="240" w:line="288" w:lineRule="auto"/>
    </w:pPr>
    <w:rPr>
      <w:rFonts w:asciiTheme="minorHAnsi" w:eastAsia="Times New Roman" w:hAnsiTheme="minorHAnsi"/>
      <w:lang w:eastAsia="en-GB"/>
    </w:rPr>
  </w:style>
  <w:style w:type="paragraph" w:customStyle="1" w:styleId="TOCHeader">
    <w:name w:val="TOC Header"/>
    <w:link w:val="TOCHeaderChar"/>
    <w:unhideWhenUsed/>
    <w:rsid w:val="003B0519"/>
    <w:pPr>
      <w:pageBreakBefore/>
      <w:spacing w:after="240"/>
    </w:pPr>
    <w:rPr>
      <w:rFonts w:eastAsia="Times New Roman"/>
      <w:b/>
      <w:color w:val="104F75"/>
      <w:sz w:val="36"/>
      <w:szCs w:val="24"/>
    </w:rPr>
  </w:style>
  <w:style w:type="character" w:customStyle="1" w:styleId="TOCHeaderChar">
    <w:name w:val="TOC Header Char"/>
    <w:link w:val="TOCHeader"/>
    <w:rsid w:val="003B0519"/>
    <w:rPr>
      <w:rFonts w:eastAsia="Times New Roman"/>
      <w:b/>
      <w:color w:val="104F75"/>
      <w:sz w:val="36"/>
      <w:szCs w:val="24"/>
    </w:rPr>
  </w:style>
  <w:style w:type="paragraph" w:styleId="Caption">
    <w:name w:val="caption"/>
    <w:basedOn w:val="Normal"/>
    <w:next w:val="Normal"/>
    <w:qFormat/>
    <w:rsid w:val="003B0519"/>
    <w:pPr>
      <w:spacing w:before="120" w:after="120" w:line="288" w:lineRule="auto"/>
      <w:jc w:val="center"/>
    </w:pPr>
    <w:rPr>
      <w:rFonts w:asciiTheme="minorHAnsi" w:eastAsia="Times New Roman" w:hAnsiTheme="minorHAnsi"/>
      <w:b/>
      <w:bCs/>
      <w:color w:val="000000" w:themeColor="text1"/>
      <w:sz w:val="20"/>
      <w:szCs w:val="20"/>
      <w:lang w:eastAsia="en-GB"/>
    </w:rPr>
  </w:style>
  <w:style w:type="paragraph" w:styleId="ListParagraph">
    <w:name w:val="List Paragraph"/>
    <w:aliases w:val="Dot pt,F5 List Paragraph,Colorful List - Accent 11,No Spacing1,List Paragraph Char Char Char,Indicator Text,Numbered Para 1,Bullet 1,Bullet Points,MAIN CONTENT,List Paragraph12,List Paragraph2,Normal numbered,OBC Bullet,L,List Paragraph11"/>
    <w:basedOn w:val="Normal"/>
    <w:link w:val="ListParagraphChar"/>
    <w:uiPriority w:val="34"/>
    <w:qFormat/>
    <w:rsid w:val="003B0519"/>
    <w:pPr>
      <w:numPr>
        <w:numId w:val="7"/>
      </w:numPr>
      <w:spacing w:after="240" w:line="288" w:lineRule="auto"/>
      <w:contextualSpacing/>
    </w:pPr>
    <w:rPr>
      <w:rFonts w:asciiTheme="minorHAnsi" w:eastAsia="Times New Roman" w:hAnsiTheme="minorHAnsi"/>
      <w:lang w:eastAsia="en-GB"/>
    </w:rPr>
  </w:style>
  <w:style w:type="paragraph" w:customStyle="1" w:styleId="TableHeader">
    <w:name w:val="TableHeader"/>
    <w:qFormat/>
    <w:rsid w:val="003B0519"/>
    <w:pPr>
      <w:spacing w:before="60" w:after="240"/>
      <w:ind w:left="57" w:right="57"/>
    </w:pPr>
    <w:rPr>
      <w:rFonts w:eastAsia="Times New Roman"/>
      <w:b/>
      <w:sz w:val="24"/>
      <w:szCs w:val="24"/>
    </w:rPr>
  </w:style>
  <w:style w:type="paragraph" w:customStyle="1" w:styleId="TableRow">
    <w:name w:val="TableRow"/>
    <w:link w:val="TableRowChar"/>
    <w:qFormat/>
    <w:rsid w:val="003B0519"/>
    <w:pPr>
      <w:spacing w:before="60" w:after="60"/>
      <w:ind w:left="57" w:right="57"/>
    </w:pPr>
    <w:rPr>
      <w:rFonts w:eastAsia="Times New Roman"/>
      <w:sz w:val="24"/>
      <w:szCs w:val="24"/>
    </w:rPr>
  </w:style>
  <w:style w:type="character" w:customStyle="1" w:styleId="TableRowChar">
    <w:name w:val="TableRow Char"/>
    <w:link w:val="TableRow"/>
    <w:rsid w:val="003B0519"/>
    <w:rPr>
      <w:rFonts w:eastAsia="Times New Roman"/>
      <w:sz w:val="24"/>
      <w:szCs w:val="24"/>
    </w:rPr>
  </w:style>
  <w:style w:type="paragraph" w:styleId="EndnoteText">
    <w:name w:val="endnote text"/>
    <w:basedOn w:val="Normal"/>
    <w:link w:val="EndnoteTextChar"/>
    <w:semiHidden/>
    <w:unhideWhenUsed/>
    <w:rsid w:val="003B0519"/>
    <w:rPr>
      <w:rFonts w:asciiTheme="minorHAnsi" w:eastAsia="Times New Roman" w:hAnsiTheme="minorHAnsi"/>
      <w:sz w:val="20"/>
      <w:szCs w:val="20"/>
      <w:lang w:eastAsia="en-GB"/>
    </w:rPr>
  </w:style>
  <w:style w:type="character" w:customStyle="1" w:styleId="EndnoteTextChar">
    <w:name w:val="Endnote Text Char"/>
    <w:basedOn w:val="DefaultParagraphFont"/>
    <w:link w:val="EndnoteText"/>
    <w:semiHidden/>
    <w:rsid w:val="003B0519"/>
    <w:rPr>
      <w:rFonts w:asciiTheme="minorHAnsi" w:eastAsia="Times New Roman" w:hAnsiTheme="minorHAnsi"/>
    </w:rPr>
  </w:style>
  <w:style w:type="character" w:styleId="EndnoteReference">
    <w:name w:val="endnote reference"/>
    <w:basedOn w:val="DefaultParagraphFont"/>
    <w:semiHidden/>
    <w:unhideWhenUsed/>
    <w:rsid w:val="003B0519"/>
    <w:rPr>
      <w:vertAlign w:val="superscript"/>
    </w:rPr>
  </w:style>
  <w:style w:type="paragraph" w:customStyle="1" w:styleId="ColouredBoxHeadline">
    <w:name w:val="Coloured Box Headline"/>
    <w:basedOn w:val="Normal"/>
    <w:qFormat/>
    <w:rsid w:val="003B0519"/>
    <w:pPr>
      <w:spacing w:before="120" w:after="240" w:line="288" w:lineRule="auto"/>
      <w:ind w:left="113" w:right="113"/>
    </w:pPr>
    <w:rPr>
      <w:rFonts w:asciiTheme="minorHAnsi" w:eastAsia="Times New Roman" w:hAnsiTheme="minorHAnsi"/>
      <w:b/>
      <w:bCs/>
      <w:sz w:val="28"/>
      <w:szCs w:val="20"/>
      <w:lang w:eastAsia="en-GB"/>
    </w:rPr>
  </w:style>
  <w:style w:type="paragraph" w:styleId="Revision">
    <w:name w:val="Revision"/>
    <w:hidden/>
    <w:uiPriority w:val="99"/>
    <w:semiHidden/>
    <w:rsid w:val="003B0519"/>
    <w:rPr>
      <w:rFonts w:eastAsia="Times New Roman"/>
      <w:sz w:val="24"/>
      <w:szCs w:val="24"/>
    </w:rPr>
  </w:style>
  <w:style w:type="paragraph" w:customStyle="1" w:styleId="SocialMedia">
    <w:name w:val="SocialMedia"/>
    <w:basedOn w:val="Normal"/>
    <w:link w:val="SocialMediaChar"/>
    <w:rsid w:val="003B0519"/>
    <w:pPr>
      <w:tabs>
        <w:tab w:val="left" w:pos="4253"/>
        <w:tab w:val="left" w:pos="4820"/>
      </w:tabs>
      <w:ind w:firstLine="34"/>
    </w:pPr>
    <w:rPr>
      <w:rFonts w:asciiTheme="minorHAnsi" w:eastAsia="Times New Roman" w:hAnsiTheme="minorHAnsi"/>
      <w:noProof/>
      <w:lang w:eastAsia="en-GB"/>
    </w:rPr>
  </w:style>
  <w:style w:type="paragraph" w:customStyle="1" w:styleId="Reference">
    <w:name w:val="Reference"/>
    <w:basedOn w:val="Normal"/>
    <w:link w:val="ReferenceChar"/>
    <w:rsid w:val="003B0519"/>
    <w:pPr>
      <w:tabs>
        <w:tab w:val="left" w:pos="1701"/>
      </w:tabs>
      <w:spacing w:before="240" w:after="240" w:line="288" w:lineRule="auto"/>
    </w:pPr>
    <w:rPr>
      <w:rFonts w:asciiTheme="minorHAnsi" w:eastAsia="Times New Roman" w:hAnsiTheme="minorHAnsi"/>
      <w:lang w:eastAsia="en-GB"/>
    </w:rPr>
  </w:style>
  <w:style w:type="character" w:customStyle="1" w:styleId="SocialMediaChar">
    <w:name w:val="SocialMedia Char"/>
    <w:basedOn w:val="DefaultParagraphFont"/>
    <w:link w:val="SocialMedia"/>
    <w:rsid w:val="003B0519"/>
    <w:rPr>
      <w:rFonts w:asciiTheme="minorHAnsi" w:eastAsia="Times New Roman" w:hAnsiTheme="minorHAnsi"/>
      <w:noProof/>
      <w:sz w:val="22"/>
      <w:szCs w:val="24"/>
    </w:rPr>
  </w:style>
  <w:style w:type="paragraph" w:customStyle="1" w:styleId="Licence">
    <w:name w:val="Licence"/>
    <w:basedOn w:val="Normal"/>
    <w:link w:val="LicenceChar"/>
    <w:rsid w:val="003B0519"/>
    <w:pPr>
      <w:tabs>
        <w:tab w:val="left" w:pos="1418"/>
      </w:tabs>
      <w:spacing w:after="240" w:line="288" w:lineRule="auto"/>
      <w:ind w:left="284"/>
      <w:contextualSpacing/>
    </w:pPr>
    <w:rPr>
      <w:rFonts w:asciiTheme="minorHAnsi" w:eastAsia="Times New Roman" w:hAnsiTheme="minorHAnsi"/>
      <w:lang w:eastAsia="en-GB"/>
    </w:rPr>
  </w:style>
  <w:style w:type="character" w:customStyle="1" w:styleId="ReferenceChar">
    <w:name w:val="Reference Char"/>
    <w:basedOn w:val="DefaultParagraphFont"/>
    <w:link w:val="Reference"/>
    <w:rsid w:val="003B0519"/>
    <w:rPr>
      <w:rFonts w:asciiTheme="minorHAnsi" w:eastAsia="Times New Roman" w:hAnsiTheme="minorHAnsi"/>
      <w:sz w:val="22"/>
      <w:szCs w:val="24"/>
    </w:rPr>
  </w:style>
  <w:style w:type="paragraph" w:customStyle="1" w:styleId="LicenceIntro">
    <w:name w:val="LicenceIntro"/>
    <w:basedOn w:val="Licence"/>
    <w:rsid w:val="003B0519"/>
    <w:pPr>
      <w:spacing w:after="0"/>
      <w:ind w:left="0"/>
    </w:pPr>
    <w:rPr>
      <w:szCs w:val="20"/>
    </w:rPr>
  </w:style>
  <w:style w:type="character" w:customStyle="1" w:styleId="LicenceChar">
    <w:name w:val="Licence Char"/>
    <w:basedOn w:val="DefaultParagraphFont"/>
    <w:link w:val="Licence"/>
    <w:rsid w:val="003B0519"/>
    <w:rPr>
      <w:rFonts w:asciiTheme="minorHAnsi" w:eastAsia="Times New Roman" w:hAnsiTheme="minorHAnsi"/>
      <w:sz w:val="22"/>
      <w:szCs w:val="24"/>
    </w:rPr>
  </w:style>
  <w:style w:type="paragraph" w:customStyle="1" w:styleId="Address">
    <w:name w:val="Address"/>
    <w:basedOn w:val="Normal"/>
    <w:link w:val="AddressChar"/>
    <w:qFormat/>
    <w:rsid w:val="003B0519"/>
    <w:pPr>
      <w:spacing w:line="288" w:lineRule="auto"/>
      <w:ind w:left="426"/>
    </w:pPr>
    <w:rPr>
      <w:rFonts w:asciiTheme="minorHAnsi" w:eastAsia="Times New Roman" w:hAnsiTheme="minorHAnsi"/>
    </w:rPr>
  </w:style>
  <w:style w:type="character" w:customStyle="1" w:styleId="AddressChar">
    <w:name w:val="Address Char"/>
    <w:basedOn w:val="DefaultParagraphFont"/>
    <w:link w:val="Address"/>
    <w:rsid w:val="003B0519"/>
    <w:rPr>
      <w:rFonts w:asciiTheme="minorHAnsi" w:eastAsia="Times New Roman" w:hAnsiTheme="minorHAnsi"/>
      <w:sz w:val="22"/>
      <w:szCs w:val="24"/>
      <w:lang w:eastAsia="en-US"/>
    </w:rPr>
  </w:style>
  <w:style w:type="paragraph" w:customStyle="1" w:styleId="ResponseMethod">
    <w:name w:val="ResponseMethod"/>
    <w:link w:val="ResponseMethodChar"/>
    <w:qFormat/>
    <w:rsid w:val="003B0519"/>
    <w:pPr>
      <w:spacing w:after="240"/>
    </w:pPr>
    <w:rPr>
      <w:rFonts w:asciiTheme="majorHAnsi" w:eastAsia="Times New Roman" w:hAnsiTheme="majorHAnsi" w:cstheme="majorBidi"/>
      <w:b/>
      <w:bCs/>
      <w:i/>
      <w:color w:val="104F75"/>
      <w:sz w:val="24"/>
      <w:szCs w:val="28"/>
      <w:lang w:eastAsia="en-US"/>
    </w:rPr>
  </w:style>
  <w:style w:type="character" w:customStyle="1" w:styleId="ResponseMethodChar">
    <w:name w:val="ResponseMethod Char"/>
    <w:basedOn w:val="Heading4Char"/>
    <w:link w:val="ResponseMethod"/>
    <w:rsid w:val="003B0519"/>
    <w:rPr>
      <w:rFonts w:asciiTheme="majorHAnsi" w:eastAsia="Times New Roman" w:hAnsiTheme="majorHAnsi" w:cstheme="majorBidi"/>
      <w:b w:val="0"/>
      <w:bCs/>
      <w:i w:val="0"/>
      <w:iCs w:val="0"/>
      <w:color w:val="104F75"/>
      <w:sz w:val="24"/>
      <w:szCs w:val="28"/>
      <w:lang w:eastAsia="en-US"/>
    </w:rPr>
  </w:style>
  <w:style w:type="numbering" w:customStyle="1" w:styleId="StyleBulletedSymbolsymbolBlueUnderlineLeft063cmH">
    <w:name w:val="Style Bulleted Symbol (symbol) Blue Underline Left:  0.63 cm H..."/>
    <w:basedOn w:val="NoList"/>
    <w:rsid w:val="003B0519"/>
    <w:pPr>
      <w:numPr>
        <w:numId w:val="8"/>
      </w:numPr>
    </w:pPr>
  </w:style>
  <w:style w:type="numbering" w:customStyle="1" w:styleId="ListParagraph1">
    <w:name w:val="List Paragraph1"/>
    <w:basedOn w:val="NoList"/>
    <w:rsid w:val="003B0519"/>
    <w:pPr>
      <w:numPr>
        <w:numId w:val="9"/>
      </w:numPr>
    </w:pPr>
  </w:style>
  <w:style w:type="paragraph" w:customStyle="1" w:styleId="DfESOutNumbered">
    <w:name w:val="DfESOutNumbered"/>
    <w:basedOn w:val="Normal"/>
    <w:link w:val="DfESOutNumberedChar"/>
    <w:rsid w:val="003B0519"/>
    <w:pPr>
      <w:widowControl w:val="0"/>
      <w:numPr>
        <w:numId w:val="10"/>
      </w:numPr>
      <w:overflowPunct w:val="0"/>
      <w:autoSpaceDE w:val="0"/>
      <w:autoSpaceDN w:val="0"/>
      <w:adjustRightInd w:val="0"/>
      <w:spacing w:after="240"/>
      <w:textAlignment w:val="baseline"/>
    </w:pPr>
    <w:rPr>
      <w:rFonts w:asciiTheme="minorHAnsi" w:eastAsia="Times New Roman" w:hAnsiTheme="minorHAnsi" w:cs="Arial"/>
      <w:szCs w:val="20"/>
    </w:rPr>
  </w:style>
  <w:style w:type="character" w:customStyle="1" w:styleId="DfESOutNumberedChar">
    <w:name w:val="DfESOutNumbered Char"/>
    <w:basedOn w:val="DefaultParagraphFont"/>
    <w:link w:val="DfESOutNumbered"/>
    <w:rsid w:val="003B0519"/>
    <w:rPr>
      <w:rFonts w:asciiTheme="minorHAnsi" w:eastAsia="Times New Roman" w:hAnsiTheme="minorHAnsi" w:cs="Arial"/>
      <w:sz w:val="22"/>
      <w:lang w:eastAsia="en-US"/>
    </w:rPr>
  </w:style>
  <w:style w:type="paragraph" w:customStyle="1" w:styleId="TableHeaderCentered">
    <w:name w:val="TableHeaderCentered"/>
    <w:basedOn w:val="TableHeader"/>
    <w:rsid w:val="003B0519"/>
    <w:pPr>
      <w:jc w:val="center"/>
    </w:pPr>
    <w:rPr>
      <w:bCs/>
      <w:szCs w:val="20"/>
    </w:rPr>
  </w:style>
  <w:style w:type="numbering" w:customStyle="1" w:styleId="NumberedList">
    <w:name w:val="Numbered List"/>
    <w:basedOn w:val="NoList"/>
    <w:rsid w:val="003B0519"/>
    <w:pPr>
      <w:numPr>
        <w:numId w:val="11"/>
      </w:numPr>
    </w:pPr>
  </w:style>
  <w:style w:type="numbering" w:customStyle="1" w:styleId="NumberedList0">
    <w:name w:val="NumberedList"/>
    <w:basedOn w:val="NoList"/>
    <w:rsid w:val="003B0519"/>
    <w:pPr>
      <w:numPr>
        <w:numId w:val="12"/>
      </w:numPr>
    </w:pPr>
  </w:style>
  <w:style w:type="numbering" w:customStyle="1" w:styleId="NumberList">
    <w:name w:val="Number List"/>
    <w:basedOn w:val="NoList"/>
    <w:rsid w:val="003B0519"/>
    <w:pPr>
      <w:numPr>
        <w:numId w:val="13"/>
      </w:numPr>
    </w:pPr>
  </w:style>
  <w:style w:type="paragraph" w:customStyle="1" w:styleId="ColouredBoxbodytext">
    <w:name w:val="Coloured Box body text"/>
    <w:basedOn w:val="Normal"/>
    <w:link w:val="ColouredBoxbodytextChar"/>
    <w:qFormat/>
    <w:rsid w:val="003B0519"/>
    <w:pPr>
      <w:spacing w:after="240" w:line="288" w:lineRule="auto"/>
      <w:ind w:left="113" w:right="113"/>
    </w:pPr>
    <w:rPr>
      <w:rFonts w:asciiTheme="minorHAnsi" w:eastAsia="Times New Roman" w:hAnsiTheme="minorHAnsi"/>
      <w:lang w:eastAsia="en-GB"/>
    </w:rPr>
  </w:style>
  <w:style w:type="character" w:customStyle="1" w:styleId="ColouredBoxbodytextChar">
    <w:name w:val="Coloured Box body text Char"/>
    <w:basedOn w:val="DefaultParagraphFont"/>
    <w:link w:val="ColouredBoxbodytext"/>
    <w:rsid w:val="003B0519"/>
    <w:rPr>
      <w:rFonts w:asciiTheme="minorHAnsi" w:eastAsia="Times New Roman" w:hAnsiTheme="minorHAnsi"/>
      <w:sz w:val="22"/>
      <w:szCs w:val="24"/>
    </w:rPr>
  </w:style>
  <w:style w:type="paragraph" w:customStyle="1" w:styleId="DeptBullets">
    <w:name w:val="DeptBullets"/>
    <w:basedOn w:val="Normal"/>
    <w:link w:val="DeptBulletsChar"/>
    <w:rsid w:val="003B0519"/>
    <w:pPr>
      <w:widowControl w:val="0"/>
      <w:numPr>
        <w:numId w:val="14"/>
      </w:numPr>
      <w:overflowPunct w:val="0"/>
      <w:autoSpaceDE w:val="0"/>
      <w:autoSpaceDN w:val="0"/>
      <w:adjustRightInd w:val="0"/>
      <w:spacing w:after="240"/>
      <w:textAlignment w:val="baseline"/>
    </w:pPr>
    <w:rPr>
      <w:rFonts w:asciiTheme="minorHAnsi" w:eastAsia="Times New Roman" w:hAnsiTheme="minorHAnsi"/>
      <w:szCs w:val="20"/>
    </w:rPr>
  </w:style>
  <w:style w:type="character" w:customStyle="1" w:styleId="DeptBulletsChar">
    <w:name w:val="DeptBullets Char"/>
    <w:basedOn w:val="DefaultParagraphFont"/>
    <w:link w:val="DeptBullets"/>
    <w:rsid w:val="003B0519"/>
    <w:rPr>
      <w:rFonts w:asciiTheme="minorHAnsi" w:eastAsia="Times New Roman" w:hAnsiTheme="minorHAnsi"/>
      <w:sz w:val="22"/>
      <w:lang w:eastAsia="en-US"/>
    </w:rPr>
  </w:style>
  <w:style w:type="character" w:customStyle="1" w:styleId="LogosChar">
    <w:name w:val="Logos Char"/>
    <w:basedOn w:val="DefaultParagraphFont"/>
    <w:link w:val="Logos"/>
    <w:locked/>
    <w:rsid w:val="003B0519"/>
    <w:rPr>
      <w:noProof/>
      <w:color w:val="0D0D0D" w:themeColor="text1" w:themeTint="F2"/>
      <w:sz w:val="24"/>
      <w:szCs w:val="24"/>
    </w:rPr>
  </w:style>
  <w:style w:type="paragraph" w:customStyle="1" w:styleId="Logos">
    <w:name w:val="Logos"/>
    <w:basedOn w:val="Normal"/>
    <w:link w:val="LogosChar"/>
    <w:rsid w:val="003B0519"/>
    <w:pPr>
      <w:pageBreakBefore/>
      <w:widowControl w:val="0"/>
      <w:spacing w:after="240" w:line="288" w:lineRule="auto"/>
    </w:pPr>
    <w:rPr>
      <w:noProof/>
      <w:color w:val="0D0D0D" w:themeColor="text1" w:themeTint="F2"/>
      <w:sz w:val="24"/>
      <w:lang w:eastAsia="en-GB"/>
    </w:rPr>
  </w:style>
  <w:style w:type="character" w:customStyle="1" w:styleId="ListParagraphChar">
    <w:name w:val="List Paragraph Char"/>
    <w:aliases w:val="Dot pt Char,F5 List Paragraph Char,Colorful List - Accent 11 Char,No Spacing1 Char,List Paragraph Char Char Char Char,Indicator Text Char,Numbered Para 1 Char,Bullet 1 Char,Bullet Points Char,MAIN CONTENT Char,List Paragraph12 Char"/>
    <w:basedOn w:val="DefaultParagraphFont"/>
    <w:link w:val="ListParagraph"/>
    <w:uiPriority w:val="34"/>
    <w:qFormat/>
    <w:locked/>
    <w:rsid w:val="003B0519"/>
    <w:rPr>
      <w:rFonts w:asciiTheme="minorHAnsi" w:eastAsia="Times New Roman" w:hAnsiTheme="minorHAnsi"/>
      <w:sz w:val="22"/>
      <w:szCs w:val="24"/>
    </w:rPr>
  </w:style>
  <w:style w:type="character" w:styleId="Strong">
    <w:name w:val="Strong"/>
    <w:basedOn w:val="DefaultParagraphFont"/>
    <w:uiPriority w:val="22"/>
    <w:qFormat/>
    <w:rsid w:val="003B0519"/>
    <w:rPr>
      <w:b/>
      <w:bCs/>
    </w:rPr>
  </w:style>
  <w:style w:type="paragraph" w:styleId="NormalWeb">
    <w:name w:val="Normal (Web)"/>
    <w:basedOn w:val="Normal"/>
    <w:uiPriority w:val="99"/>
    <w:unhideWhenUsed/>
    <w:rsid w:val="003B0519"/>
    <w:pPr>
      <w:spacing w:after="150"/>
    </w:pPr>
    <w:rPr>
      <w:rFonts w:ascii="Times New Roman" w:eastAsia="Times New Roman" w:hAnsi="Times New Roman"/>
      <w:lang w:eastAsia="en-GB"/>
    </w:rPr>
  </w:style>
  <w:style w:type="paragraph" w:customStyle="1" w:styleId="Default">
    <w:name w:val="Default"/>
    <w:basedOn w:val="Normal"/>
    <w:rsid w:val="003B0519"/>
    <w:pPr>
      <w:autoSpaceDE w:val="0"/>
      <w:autoSpaceDN w:val="0"/>
    </w:pPr>
    <w:rPr>
      <w:rFonts w:asciiTheme="minorHAnsi" w:eastAsiaTheme="minorHAnsi" w:hAnsiTheme="minorHAnsi" w:cs="Arial"/>
      <w:color w:val="000000"/>
    </w:rPr>
  </w:style>
  <w:style w:type="paragraph" w:customStyle="1" w:styleId="numberpara1">
    <w:name w:val="number para 1"/>
    <w:basedOn w:val="Normal"/>
    <w:qFormat/>
    <w:rsid w:val="003B0519"/>
    <w:pPr>
      <w:numPr>
        <w:numId w:val="15"/>
      </w:numPr>
      <w:spacing w:after="200" w:line="276" w:lineRule="auto"/>
    </w:pPr>
    <w:rPr>
      <w:rFonts w:asciiTheme="minorHAnsi" w:eastAsiaTheme="minorHAnsi" w:hAnsiTheme="minorHAnsi" w:cstheme="minorBidi"/>
      <w:b/>
      <w:szCs w:val="22"/>
    </w:rPr>
  </w:style>
  <w:style w:type="paragraph" w:customStyle="1" w:styleId="legclearfix2">
    <w:name w:val="legclearfix2"/>
    <w:basedOn w:val="Normal"/>
    <w:rsid w:val="003B0519"/>
    <w:pPr>
      <w:shd w:val="clear" w:color="auto" w:fill="FFFFFF"/>
      <w:spacing w:after="120" w:line="360" w:lineRule="atLeast"/>
    </w:pPr>
    <w:rPr>
      <w:rFonts w:ascii="Times New Roman" w:eastAsia="Times New Roman" w:hAnsi="Times New Roman"/>
      <w:color w:val="000000"/>
      <w:sz w:val="19"/>
      <w:szCs w:val="19"/>
      <w:lang w:eastAsia="en-GB"/>
    </w:rPr>
  </w:style>
  <w:style w:type="character" w:customStyle="1" w:styleId="legds2">
    <w:name w:val="legds2"/>
    <w:basedOn w:val="DefaultParagraphFont"/>
    <w:rsid w:val="003B0519"/>
    <w:rPr>
      <w:vanish w:val="0"/>
      <w:webHidden w:val="0"/>
      <w:specVanish w:val="0"/>
    </w:rPr>
  </w:style>
  <w:style w:type="paragraph" w:customStyle="1" w:styleId="NumberedNormal">
    <w:name w:val="Numbered Normal"/>
    <w:basedOn w:val="ListParagraph"/>
    <w:link w:val="NumberedNormalChar"/>
    <w:qFormat/>
    <w:rsid w:val="003B0519"/>
    <w:pPr>
      <w:numPr>
        <w:numId w:val="0"/>
      </w:numPr>
      <w:spacing w:line="240" w:lineRule="auto"/>
      <w:contextualSpacing w:val="0"/>
    </w:pPr>
    <w:rPr>
      <w:rFonts w:cstheme="minorHAnsi"/>
    </w:rPr>
  </w:style>
  <w:style w:type="paragraph" w:customStyle="1" w:styleId="legclearfix">
    <w:name w:val="legclearfix"/>
    <w:basedOn w:val="Normal"/>
    <w:rsid w:val="003B0519"/>
    <w:pPr>
      <w:spacing w:before="100" w:beforeAutospacing="1" w:after="100" w:afterAutospacing="1"/>
    </w:pPr>
    <w:rPr>
      <w:rFonts w:ascii="Times New Roman" w:eastAsia="Times New Roman" w:hAnsi="Times New Roman"/>
      <w:lang w:eastAsia="en-GB"/>
    </w:rPr>
  </w:style>
  <w:style w:type="paragraph" w:customStyle="1" w:styleId="Bullet">
    <w:name w:val="Bullet"/>
    <w:basedOn w:val="Normal"/>
    <w:rsid w:val="003B0519"/>
    <w:pPr>
      <w:numPr>
        <w:numId w:val="16"/>
      </w:numPr>
      <w:tabs>
        <w:tab w:val="clear" w:pos="864"/>
        <w:tab w:val="num" w:pos="360"/>
      </w:tabs>
      <w:ind w:left="0" w:firstLine="0"/>
    </w:pPr>
    <w:rPr>
      <w:rFonts w:ascii="Calibri" w:hAnsi="Calibri"/>
      <w:szCs w:val="22"/>
    </w:rPr>
  </w:style>
  <w:style w:type="numbering" w:customStyle="1" w:styleId="LFO10">
    <w:name w:val="LFO10"/>
    <w:basedOn w:val="NoList"/>
    <w:rsid w:val="003B0519"/>
    <w:pPr>
      <w:numPr>
        <w:numId w:val="17"/>
      </w:numPr>
    </w:pPr>
  </w:style>
  <w:style w:type="character" w:customStyle="1" w:styleId="NumberedNormalChar">
    <w:name w:val="Numbered Normal Char"/>
    <w:basedOn w:val="DefaultParagraphFont"/>
    <w:link w:val="NumberedNormal"/>
    <w:rsid w:val="003B0519"/>
    <w:rPr>
      <w:rFonts w:asciiTheme="minorHAnsi" w:eastAsia="Times New Roman" w:hAnsiTheme="minorHAnsi" w:cstheme="minorHAnsi"/>
      <w:sz w:val="22"/>
      <w:szCs w:val="24"/>
    </w:rPr>
  </w:style>
  <w:style w:type="table" w:customStyle="1" w:styleId="TableGrid1">
    <w:name w:val="Table Grid1"/>
    <w:basedOn w:val="TableNormal"/>
    <w:next w:val="TableGrid"/>
    <w:rsid w:val="003B051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3B051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3B051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ecklistHeading">
    <w:name w:val="Checklist Heading"/>
    <w:basedOn w:val="Heading2"/>
    <w:uiPriority w:val="3"/>
    <w:qFormat/>
    <w:rsid w:val="003B0519"/>
    <w:pPr>
      <w:keepNext w:val="0"/>
      <w:keepLines w:val="0"/>
      <w:spacing w:before="0" w:after="0" w:line="240" w:lineRule="auto"/>
      <w:ind w:left="357" w:hanging="357"/>
      <w:contextualSpacing w:val="0"/>
    </w:pPr>
    <w:rPr>
      <w:rFonts w:asciiTheme="minorHAnsi" w:eastAsia="Times New Roman" w:hAnsiTheme="minorHAnsi" w:cstheme="minorHAnsi"/>
      <w:b w:val="0"/>
      <w:iCs w:val="0"/>
      <w:color w:val="auto"/>
      <w:sz w:val="24"/>
      <w:szCs w:val="32"/>
      <w:u w:val="single"/>
      <w:lang w:eastAsia="en-GB"/>
    </w:rPr>
  </w:style>
  <w:style w:type="table" w:customStyle="1" w:styleId="TableGrid4">
    <w:name w:val="Table Grid4"/>
    <w:basedOn w:val="TableNormal"/>
    <w:next w:val="TableGrid"/>
    <w:uiPriority w:val="39"/>
    <w:rsid w:val="003B0519"/>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3B0519"/>
    <w:rPr>
      <w:rFonts w:ascii="Times New Roman" w:eastAsiaTheme="minorHAnsi" w:hAnsi="Times New Roman"/>
      <w:lang w:eastAsia="en-GB"/>
    </w:rPr>
  </w:style>
  <w:style w:type="character" w:customStyle="1" w:styleId="normaltextrun1">
    <w:name w:val="normaltextrun1"/>
    <w:basedOn w:val="DefaultParagraphFont"/>
    <w:rsid w:val="003B0519"/>
  </w:style>
  <w:style w:type="character" w:customStyle="1" w:styleId="eop">
    <w:name w:val="eop"/>
    <w:basedOn w:val="DefaultParagraphFont"/>
    <w:rsid w:val="003B0519"/>
  </w:style>
  <w:style w:type="character" w:customStyle="1" w:styleId="spellingerror">
    <w:name w:val="spellingerror"/>
    <w:basedOn w:val="DefaultParagraphFont"/>
    <w:rsid w:val="003B0519"/>
  </w:style>
  <w:style w:type="paragraph" w:styleId="PlainText">
    <w:name w:val="Plain Text"/>
    <w:basedOn w:val="Normal"/>
    <w:link w:val="PlainTextChar"/>
    <w:uiPriority w:val="99"/>
    <w:semiHidden/>
    <w:unhideWhenUsed/>
    <w:rsid w:val="003B0519"/>
    <w:rPr>
      <w:rFonts w:ascii="Calibri" w:eastAsiaTheme="minorHAnsi" w:hAnsi="Calibri"/>
      <w:szCs w:val="22"/>
    </w:rPr>
  </w:style>
  <w:style w:type="character" w:customStyle="1" w:styleId="PlainTextChar">
    <w:name w:val="Plain Text Char"/>
    <w:basedOn w:val="DefaultParagraphFont"/>
    <w:link w:val="PlainText"/>
    <w:uiPriority w:val="99"/>
    <w:semiHidden/>
    <w:rsid w:val="003B0519"/>
    <w:rPr>
      <w:rFonts w:ascii="Calibri" w:eastAsiaTheme="minorHAnsi" w:hAnsi="Calibri"/>
      <w:sz w:val="22"/>
      <w:szCs w:val="22"/>
      <w:lang w:eastAsia="en-US"/>
    </w:rPr>
  </w:style>
  <w:style w:type="paragraph" w:customStyle="1" w:styleId="p1">
    <w:name w:val="p1"/>
    <w:basedOn w:val="Normal"/>
    <w:rsid w:val="003B0519"/>
    <w:rPr>
      <w:rFonts w:ascii=".SF UI Text" w:eastAsiaTheme="minorHAnsi" w:hAnsi=".SF UI Text"/>
      <w:color w:val="454545"/>
      <w:sz w:val="26"/>
      <w:szCs w:val="26"/>
      <w:lang w:eastAsia="en-GB"/>
    </w:rPr>
  </w:style>
  <w:style w:type="character" w:customStyle="1" w:styleId="s1">
    <w:name w:val="s1"/>
    <w:basedOn w:val="DefaultParagraphFont"/>
    <w:rsid w:val="003B0519"/>
    <w:rPr>
      <w:rFonts w:ascii=".SFUIText" w:hAnsi=".SFUIText" w:hint="default"/>
      <w:b w:val="0"/>
      <w:bCs w:val="0"/>
      <w:i w:val="0"/>
      <w:iCs w:val="0"/>
      <w:sz w:val="34"/>
      <w:szCs w:val="34"/>
    </w:rPr>
  </w:style>
  <w:style w:type="table" w:customStyle="1" w:styleId="TableGrid5">
    <w:name w:val="Table Grid5"/>
    <w:basedOn w:val="TableNormal"/>
    <w:next w:val="TableGrid"/>
    <w:uiPriority w:val="39"/>
    <w:rsid w:val="003B051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3B0519"/>
  </w:style>
  <w:style w:type="paragraph" w:customStyle="1" w:styleId="RFnumberedpara">
    <w:name w:val="RF numbered para"/>
    <w:basedOn w:val="Normal"/>
    <w:qFormat/>
    <w:rsid w:val="00182BA7"/>
    <w:pPr>
      <w:numPr>
        <w:numId w:val="25"/>
      </w:numPr>
      <w:spacing w:after="220" w:line="264" w:lineRule="auto"/>
      <w:ind w:left="567" w:hanging="567"/>
    </w:pPr>
    <w:rPr>
      <w:rFonts w:cs="Arial"/>
    </w:rPr>
  </w:style>
  <w:style w:type="paragraph" w:customStyle="1" w:styleId="RFnumberedparaL2">
    <w:name w:val="RF numbered para L2"/>
    <w:basedOn w:val="RFnumberedpara"/>
    <w:qFormat/>
    <w:rsid w:val="00491EA4"/>
    <w:pPr>
      <w:numPr>
        <w:numId w:val="26"/>
      </w:numPr>
      <w:ind w:left="851" w:hanging="284"/>
    </w:pPr>
  </w:style>
  <w:style w:type="paragraph" w:customStyle="1" w:styleId="RFbullet">
    <w:name w:val="RF bullet"/>
    <w:basedOn w:val="RFnumberedpara"/>
    <w:autoRedefine/>
    <w:qFormat/>
    <w:rsid w:val="00764474"/>
    <w:pPr>
      <w:numPr>
        <w:numId w:val="27"/>
      </w:numPr>
      <w:ind w:left="851" w:hanging="295"/>
    </w:pPr>
  </w:style>
  <w:style w:type="paragraph" w:customStyle="1" w:styleId="RFn">
    <w:name w:val="RFn"/>
    <w:basedOn w:val="ListParagraph"/>
    <w:qFormat/>
    <w:rsid w:val="003B0519"/>
    <w:pPr>
      <w:numPr>
        <w:numId w:val="0"/>
      </w:numPr>
      <w:ind w:left="360" w:hanging="360"/>
      <w:contextualSpacing w:val="0"/>
    </w:pPr>
    <w:rPr>
      <w:rFonts w:cs="Arial"/>
    </w:rPr>
  </w:style>
  <w:style w:type="paragraph" w:customStyle="1" w:styleId="RFnumberedparaL3">
    <w:name w:val="RF numbered para L3"/>
    <w:basedOn w:val="RFnumberedparaL2"/>
    <w:qFormat/>
    <w:rsid w:val="003B0519"/>
    <w:pPr>
      <w:numPr>
        <w:numId w:val="19"/>
      </w:numPr>
    </w:pPr>
  </w:style>
  <w:style w:type="paragraph" w:customStyle="1" w:styleId="RFexecsum">
    <w:name w:val="RF exec sum"/>
    <w:basedOn w:val="RFnumberedpara"/>
    <w:qFormat/>
    <w:rsid w:val="003B0519"/>
    <w:pPr>
      <w:numPr>
        <w:numId w:val="18"/>
      </w:numPr>
    </w:pPr>
  </w:style>
  <w:style w:type="paragraph" w:customStyle="1" w:styleId="05IANumberedparagraph">
    <w:name w:val="05_IA_Numbered paragraph"/>
    <w:basedOn w:val="Normal"/>
    <w:rsid w:val="003B0519"/>
    <w:rPr>
      <w:rFonts w:asciiTheme="minorHAnsi" w:eastAsia="Times New Roman" w:hAnsiTheme="minorHAnsi"/>
      <w:color w:val="0D0D0D" w:themeColor="text1" w:themeTint="F2"/>
      <w:lang w:eastAsia="en-GB"/>
    </w:rPr>
  </w:style>
  <w:style w:type="paragraph" w:customStyle="1" w:styleId="AudRepBullet">
    <w:name w:val="AudRepBullet"/>
    <w:basedOn w:val="Normal"/>
    <w:rsid w:val="003B0519"/>
    <w:pPr>
      <w:spacing w:after="240"/>
    </w:pPr>
    <w:rPr>
      <w:rFonts w:asciiTheme="minorHAnsi" w:eastAsia="Times New Roman" w:hAnsiTheme="minorHAnsi"/>
      <w:color w:val="0D0D0D" w:themeColor="text1" w:themeTint="F2"/>
      <w:szCs w:val="20"/>
      <w:lang w:eastAsia="en-GB"/>
    </w:rPr>
  </w:style>
  <w:style w:type="paragraph" w:styleId="IntenseQuote">
    <w:name w:val="Intense Quote"/>
    <w:basedOn w:val="Normal"/>
    <w:next w:val="Normal"/>
    <w:link w:val="IntenseQuoteChar"/>
    <w:uiPriority w:val="30"/>
    <w:qFormat/>
    <w:rsid w:val="003B0519"/>
    <w:pPr>
      <w:pBdr>
        <w:bottom w:val="single" w:sz="4" w:space="4" w:color="323157" w:themeColor="accent1"/>
      </w:pBdr>
      <w:spacing w:before="200" w:after="280"/>
      <w:ind w:left="936" w:right="936"/>
    </w:pPr>
    <w:rPr>
      <w:rFonts w:asciiTheme="minorHAnsi" w:eastAsia="Times New Roman" w:hAnsiTheme="minorHAnsi"/>
      <w:b/>
      <w:bCs/>
      <w:i/>
      <w:iCs/>
      <w:color w:val="323157" w:themeColor="accent1"/>
      <w:lang w:eastAsia="en-GB"/>
    </w:rPr>
  </w:style>
  <w:style w:type="character" w:customStyle="1" w:styleId="IntenseQuoteChar">
    <w:name w:val="Intense Quote Char"/>
    <w:basedOn w:val="DefaultParagraphFont"/>
    <w:link w:val="IntenseQuote"/>
    <w:uiPriority w:val="30"/>
    <w:rsid w:val="003B0519"/>
    <w:rPr>
      <w:rFonts w:asciiTheme="minorHAnsi" w:eastAsia="Times New Roman" w:hAnsiTheme="minorHAnsi"/>
      <w:b/>
      <w:bCs/>
      <w:i/>
      <w:iCs/>
      <w:color w:val="323157" w:themeColor="accent1"/>
      <w:sz w:val="22"/>
      <w:szCs w:val="24"/>
    </w:rPr>
  </w:style>
  <w:style w:type="paragraph" w:customStyle="1" w:styleId="DfESBullets">
    <w:name w:val="DfESBullets"/>
    <w:basedOn w:val="Normal"/>
    <w:uiPriority w:val="99"/>
    <w:rsid w:val="003B0519"/>
    <w:pPr>
      <w:widowControl w:val="0"/>
      <w:overflowPunct w:val="0"/>
      <w:autoSpaceDE w:val="0"/>
      <w:autoSpaceDN w:val="0"/>
      <w:adjustRightInd w:val="0"/>
      <w:spacing w:after="240"/>
      <w:textAlignment w:val="baseline"/>
    </w:pPr>
    <w:rPr>
      <w:rFonts w:asciiTheme="minorHAnsi" w:eastAsia="Times New Roman" w:hAnsiTheme="minorHAnsi"/>
      <w:color w:val="0D0D0D" w:themeColor="text1" w:themeTint="F2"/>
      <w:szCs w:val="20"/>
      <w:lang w:eastAsia="en-GB"/>
    </w:rPr>
  </w:style>
  <w:style w:type="table" w:styleId="TableColumns1">
    <w:name w:val="Table Columns 1"/>
    <w:basedOn w:val="TableNormal"/>
    <w:rsid w:val="003B0519"/>
    <w:pPr>
      <w:spacing w:after="240" w:line="288" w:lineRule="auto"/>
    </w:pPr>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text">
    <w:name w:val="text"/>
    <w:basedOn w:val="DefaultParagraphFont"/>
    <w:rsid w:val="003B0519"/>
  </w:style>
  <w:style w:type="paragraph" w:customStyle="1" w:styleId="msonormal0">
    <w:name w:val="msonormal"/>
    <w:basedOn w:val="Normal"/>
    <w:rsid w:val="003B0519"/>
    <w:pPr>
      <w:spacing w:before="100" w:beforeAutospacing="1" w:after="100" w:afterAutospacing="1"/>
    </w:pPr>
    <w:rPr>
      <w:rFonts w:ascii="Times New Roman" w:eastAsia="Times New Roman" w:hAnsi="Times New Roman"/>
      <w:color w:val="0D0D0D" w:themeColor="text1" w:themeTint="F2"/>
      <w:lang w:eastAsia="en-GB"/>
    </w:rPr>
  </w:style>
  <w:style w:type="paragraph" w:styleId="NoSpacing">
    <w:name w:val="No Spacing"/>
    <w:uiPriority w:val="1"/>
    <w:qFormat/>
    <w:rsid w:val="003B0519"/>
    <w:rPr>
      <w:rFonts w:asciiTheme="minorHAnsi" w:eastAsiaTheme="minorHAnsi" w:hAnsiTheme="minorHAnsi" w:cstheme="minorBidi"/>
      <w:sz w:val="22"/>
      <w:szCs w:val="22"/>
      <w:lang w:eastAsia="en-US"/>
    </w:rPr>
  </w:style>
  <w:style w:type="paragraph" w:customStyle="1" w:styleId="Centredembed">
    <w:name w:val="Centred embed"/>
    <w:basedOn w:val="Normal"/>
    <w:rsid w:val="003B0519"/>
    <w:pPr>
      <w:spacing w:line="288" w:lineRule="auto"/>
      <w:jc w:val="center"/>
    </w:pPr>
    <w:rPr>
      <w:rFonts w:asciiTheme="minorHAnsi" w:eastAsia="Times New Roman" w:hAnsiTheme="minorHAnsi"/>
      <w:color w:val="0D0D0D" w:themeColor="text1" w:themeTint="F2"/>
      <w:szCs w:val="20"/>
      <w:lang w:eastAsia="en-GB"/>
    </w:rPr>
  </w:style>
  <w:style w:type="paragraph" w:customStyle="1" w:styleId="DfESOutNumbered1">
    <w:name w:val="DfESOutNumbered1"/>
    <w:basedOn w:val="Normal"/>
    <w:link w:val="DfESOutNumbered1Char"/>
    <w:qFormat/>
    <w:rsid w:val="003B0519"/>
    <w:pPr>
      <w:numPr>
        <w:numId w:val="20"/>
      </w:numPr>
      <w:spacing w:after="240" w:line="288" w:lineRule="auto"/>
    </w:pPr>
    <w:rPr>
      <w:rFonts w:asciiTheme="minorHAnsi" w:eastAsia="Times New Roman" w:hAnsiTheme="minorHAnsi"/>
      <w:color w:val="0D0D0D" w:themeColor="text1" w:themeTint="F2"/>
      <w:lang w:eastAsia="en-GB"/>
    </w:rPr>
  </w:style>
  <w:style w:type="character" w:customStyle="1" w:styleId="DfESOutNumbered1Char">
    <w:name w:val="DfESOutNumbered1 Char"/>
    <w:link w:val="DfESOutNumbered1"/>
    <w:rsid w:val="003B0519"/>
    <w:rPr>
      <w:rFonts w:asciiTheme="minorHAnsi" w:eastAsia="Times New Roman" w:hAnsiTheme="minorHAnsi"/>
      <w:color w:val="0D0D0D" w:themeColor="text1" w:themeTint="F2"/>
      <w:sz w:val="22"/>
      <w:szCs w:val="24"/>
    </w:rPr>
  </w:style>
  <w:style w:type="paragraph" w:styleId="ListBullet5">
    <w:name w:val="List Bullet 5"/>
    <w:basedOn w:val="Normal"/>
    <w:rsid w:val="003B0519"/>
    <w:pPr>
      <w:spacing w:after="240" w:line="288" w:lineRule="auto"/>
    </w:pPr>
    <w:rPr>
      <w:rFonts w:asciiTheme="minorHAnsi" w:eastAsia="Times New Roman" w:hAnsiTheme="minorHAnsi"/>
      <w:color w:val="0D0D0D" w:themeColor="text1" w:themeTint="F2"/>
      <w:lang w:eastAsia="en-GB"/>
    </w:rPr>
  </w:style>
  <w:style w:type="paragraph" w:styleId="ListBullet3">
    <w:name w:val="List Bullet 3"/>
    <w:basedOn w:val="Normal"/>
    <w:rsid w:val="003B0519"/>
    <w:pPr>
      <w:numPr>
        <w:numId w:val="21"/>
      </w:numPr>
      <w:spacing w:after="240" w:line="288" w:lineRule="auto"/>
      <w:contextualSpacing/>
    </w:pPr>
    <w:rPr>
      <w:rFonts w:asciiTheme="minorHAnsi" w:eastAsia="Times New Roman" w:hAnsiTheme="minorHAnsi"/>
      <w:color w:val="0D0D0D" w:themeColor="text1" w:themeTint="F2"/>
      <w:lang w:eastAsia="en-GB"/>
    </w:rPr>
  </w:style>
  <w:style w:type="paragraph" w:styleId="ListBullet4">
    <w:name w:val="List Bullet 4"/>
    <w:basedOn w:val="Normal"/>
    <w:rsid w:val="003B0519"/>
    <w:pPr>
      <w:numPr>
        <w:numId w:val="22"/>
      </w:numPr>
      <w:spacing w:after="240" w:line="288" w:lineRule="auto"/>
      <w:contextualSpacing/>
    </w:pPr>
    <w:rPr>
      <w:rFonts w:asciiTheme="minorHAnsi" w:eastAsia="Times New Roman" w:hAnsiTheme="minorHAnsi"/>
      <w:color w:val="0D0D0D" w:themeColor="text1" w:themeTint="F2"/>
      <w:lang w:eastAsia="en-GB"/>
    </w:rPr>
  </w:style>
  <w:style w:type="character" w:customStyle="1" w:styleId="RGB">
    <w:name w:val="RGB"/>
    <w:basedOn w:val="DefaultParagraphFont"/>
    <w:rsid w:val="003B0519"/>
    <w:rPr>
      <w:b/>
      <w:bCs/>
      <w:sz w:val="20"/>
    </w:rPr>
  </w:style>
  <w:style w:type="character" w:customStyle="1" w:styleId="RGBValues">
    <w:name w:val="RGB Values"/>
    <w:basedOn w:val="DefaultParagraphFont"/>
    <w:rsid w:val="003B0519"/>
    <w:rPr>
      <w:sz w:val="20"/>
    </w:rPr>
  </w:style>
  <w:style w:type="paragraph" w:customStyle="1" w:styleId="Source">
    <w:name w:val="Source"/>
    <w:basedOn w:val="Normal"/>
    <w:link w:val="SourceChar"/>
    <w:qFormat/>
    <w:rsid w:val="003B0519"/>
    <w:pPr>
      <w:spacing w:after="240" w:line="288" w:lineRule="auto"/>
      <w:jc w:val="right"/>
    </w:pPr>
    <w:rPr>
      <w:rFonts w:asciiTheme="minorHAnsi" w:eastAsia="Times New Roman" w:hAnsiTheme="minorHAnsi"/>
      <w:color w:val="0D0D0D" w:themeColor="text1" w:themeTint="F2"/>
      <w:sz w:val="20"/>
      <w:szCs w:val="20"/>
      <w:lang w:eastAsia="en-GB"/>
    </w:rPr>
  </w:style>
  <w:style w:type="character" w:customStyle="1" w:styleId="SourceChar">
    <w:name w:val="Source Char"/>
    <w:basedOn w:val="DefaultParagraphFont"/>
    <w:link w:val="Source"/>
    <w:locked/>
    <w:rsid w:val="003B0519"/>
    <w:rPr>
      <w:rFonts w:asciiTheme="minorHAnsi" w:eastAsia="Times New Roman" w:hAnsiTheme="minorHAnsi"/>
      <w:color w:val="0D0D0D" w:themeColor="text1" w:themeTint="F2"/>
    </w:rPr>
  </w:style>
  <w:style w:type="paragraph" w:customStyle="1" w:styleId="TableRowCentered">
    <w:name w:val="TableRowCentered"/>
    <w:basedOn w:val="TableRow"/>
    <w:rsid w:val="003B0519"/>
    <w:pPr>
      <w:jc w:val="center"/>
    </w:pPr>
    <w:rPr>
      <w:color w:val="0D0D0D" w:themeColor="text1" w:themeTint="F2"/>
      <w:szCs w:val="20"/>
    </w:rPr>
  </w:style>
  <w:style w:type="paragraph" w:customStyle="1" w:styleId="TableRowRight">
    <w:name w:val="TableRowRight"/>
    <w:basedOn w:val="TableRow"/>
    <w:rsid w:val="003B0519"/>
    <w:pPr>
      <w:jc w:val="right"/>
    </w:pPr>
    <w:rPr>
      <w:color w:val="0D0D0D" w:themeColor="text1" w:themeTint="F2"/>
      <w:szCs w:val="20"/>
    </w:rPr>
  </w:style>
  <w:style w:type="paragraph" w:customStyle="1" w:styleId="RFb">
    <w:name w:val="RF b#"/>
    <w:basedOn w:val="ListParagraph"/>
    <w:rsid w:val="003B0519"/>
    <w:pPr>
      <w:numPr>
        <w:numId w:val="0"/>
      </w:numPr>
    </w:pPr>
    <w:rPr>
      <w:color w:val="000000" w:themeColor="text1"/>
    </w:rPr>
  </w:style>
  <w:style w:type="paragraph" w:customStyle="1" w:styleId="RFb0">
    <w:name w:val="RF b"/>
    <w:basedOn w:val="RFb"/>
    <w:rsid w:val="003B0519"/>
  </w:style>
  <w:style w:type="table" w:customStyle="1" w:styleId="TableGrid6">
    <w:name w:val="Table Grid6"/>
    <w:basedOn w:val="TableNormal"/>
    <w:next w:val="TableGrid"/>
    <w:rsid w:val="003B051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bu">
    <w:name w:val="Re bu"/>
    <w:basedOn w:val="Normal"/>
    <w:qFormat/>
    <w:rsid w:val="003B0519"/>
    <w:pPr>
      <w:spacing w:after="240" w:line="288" w:lineRule="auto"/>
    </w:pPr>
    <w:rPr>
      <w:rFonts w:asciiTheme="minorHAnsi" w:eastAsia="Times New Roman" w:hAnsiTheme="minorHAnsi"/>
      <w:lang w:eastAsia="en-GB"/>
    </w:rPr>
  </w:style>
  <w:style w:type="paragraph" w:customStyle="1" w:styleId="pignumbers">
    <w:name w:val="pig numbers"/>
    <w:basedOn w:val="RFnumberedpara"/>
    <w:qFormat/>
    <w:rsid w:val="003B0519"/>
    <w:pPr>
      <w:numPr>
        <w:numId w:val="23"/>
      </w:numPr>
    </w:pPr>
  </w:style>
  <w:style w:type="paragraph" w:customStyle="1" w:styleId="PIPnumbered">
    <w:name w:val="PIP numbered"/>
    <w:basedOn w:val="Normal"/>
    <w:autoRedefine/>
    <w:qFormat/>
    <w:rsid w:val="003A268B"/>
    <w:pPr>
      <w:widowControl w:val="0"/>
      <w:numPr>
        <w:numId w:val="24"/>
      </w:numPr>
      <w:autoSpaceDE w:val="0"/>
      <w:autoSpaceDN w:val="0"/>
      <w:adjustRightInd w:val="0"/>
      <w:spacing w:after="240" w:line="288" w:lineRule="auto"/>
      <w:jc w:val="both"/>
    </w:pPr>
    <w:rPr>
      <w:rFonts w:eastAsia="Times New Roman" w:cs="Arial"/>
      <w:szCs w:val="28"/>
      <w:lang w:eastAsia="en-GB"/>
    </w:rPr>
  </w:style>
  <w:style w:type="character" w:customStyle="1" w:styleId="DeltaViewInsertion">
    <w:name w:val="DeltaView Insertion"/>
    <w:uiPriority w:val="99"/>
    <w:rsid w:val="003B0519"/>
    <w:rPr>
      <w:color w:val="0000FF"/>
      <w:u w:val="double"/>
    </w:rPr>
  </w:style>
  <w:style w:type="character" w:customStyle="1" w:styleId="DeltaViewDeletion">
    <w:name w:val="DeltaView Deletion"/>
    <w:uiPriority w:val="99"/>
    <w:rsid w:val="003B0519"/>
    <w:rPr>
      <w:strike/>
      <w:color w:val="FF0000"/>
    </w:rPr>
  </w:style>
  <w:style w:type="table" w:customStyle="1" w:styleId="TableGrid7">
    <w:name w:val="Table Grid7"/>
    <w:basedOn w:val="TableNormal"/>
    <w:next w:val="TableGrid"/>
    <w:rsid w:val="00187D3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customStyle="1" w:styleId="OfSTOC1">
    <w:name w:val="OfS_TOC_1"/>
    <w:qFormat/>
    <w:rsid w:val="00974E45"/>
    <w:pPr>
      <w:spacing w:before="240" w:after="120"/>
    </w:pPr>
    <w:rPr>
      <w:rFonts w:eastAsia="Times New Roman" w:cs="Calibri"/>
      <w:b/>
      <w:noProof/>
      <w:sz w:val="22"/>
    </w:rPr>
  </w:style>
  <w:style w:type="paragraph" w:customStyle="1" w:styleId="Pa1">
    <w:name w:val="Pa1"/>
    <w:basedOn w:val="Default"/>
    <w:next w:val="Default"/>
    <w:uiPriority w:val="99"/>
    <w:rsid w:val="00662B25"/>
    <w:pPr>
      <w:adjustRightInd w:val="0"/>
      <w:spacing w:line="221" w:lineRule="atLeast"/>
    </w:pPr>
    <w:rPr>
      <w:rFonts w:ascii="YQAXE U+ Goudy Old Style BT" w:eastAsia="Calibri" w:hAnsi="YQAXE U+ Goudy Old Style BT" w:cs="Times New Roman"/>
      <w:color w:val="auto"/>
      <w:sz w:val="24"/>
      <w:lang w:eastAsia="en-GB"/>
    </w:rPr>
  </w:style>
  <w:style w:type="paragraph" w:customStyle="1" w:styleId="Pa2">
    <w:name w:val="Pa2"/>
    <w:basedOn w:val="Default"/>
    <w:next w:val="Default"/>
    <w:uiPriority w:val="99"/>
    <w:rsid w:val="00662B25"/>
    <w:pPr>
      <w:adjustRightInd w:val="0"/>
      <w:spacing w:line="241" w:lineRule="atLeast"/>
    </w:pPr>
    <w:rPr>
      <w:rFonts w:ascii="YQAXE U+ Goudy Old Style BT" w:eastAsia="Calibri" w:hAnsi="YQAXE U+ Goudy Old Style BT" w:cs="Times New Roman"/>
      <w:color w:val="auto"/>
      <w:sz w:val="24"/>
      <w:lang w:eastAsia="en-GB"/>
    </w:rPr>
  </w:style>
  <w:style w:type="character" w:customStyle="1" w:styleId="A3">
    <w:name w:val="A3"/>
    <w:uiPriority w:val="99"/>
    <w:rsid w:val="00662B25"/>
    <w:rPr>
      <w:rFonts w:cs="YQAXE U+ Goudy Old Style BT"/>
      <w:color w:val="002C6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55075">
      <w:bodyDiv w:val="1"/>
      <w:marLeft w:val="0"/>
      <w:marRight w:val="0"/>
      <w:marTop w:val="0"/>
      <w:marBottom w:val="0"/>
      <w:divBdr>
        <w:top w:val="none" w:sz="0" w:space="0" w:color="auto"/>
        <w:left w:val="none" w:sz="0" w:space="0" w:color="auto"/>
        <w:bottom w:val="none" w:sz="0" w:space="0" w:color="auto"/>
        <w:right w:val="none" w:sz="0" w:space="0" w:color="auto"/>
      </w:divBdr>
    </w:div>
    <w:div w:id="136344115">
      <w:bodyDiv w:val="1"/>
      <w:marLeft w:val="0"/>
      <w:marRight w:val="0"/>
      <w:marTop w:val="0"/>
      <w:marBottom w:val="0"/>
      <w:divBdr>
        <w:top w:val="none" w:sz="0" w:space="0" w:color="auto"/>
        <w:left w:val="none" w:sz="0" w:space="0" w:color="auto"/>
        <w:bottom w:val="none" w:sz="0" w:space="0" w:color="auto"/>
        <w:right w:val="none" w:sz="0" w:space="0" w:color="auto"/>
      </w:divBdr>
    </w:div>
    <w:div w:id="183057377">
      <w:bodyDiv w:val="1"/>
      <w:marLeft w:val="0"/>
      <w:marRight w:val="0"/>
      <w:marTop w:val="0"/>
      <w:marBottom w:val="0"/>
      <w:divBdr>
        <w:top w:val="none" w:sz="0" w:space="0" w:color="auto"/>
        <w:left w:val="none" w:sz="0" w:space="0" w:color="auto"/>
        <w:bottom w:val="none" w:sz="0" w:space="0" w:color="auto"/>
        <w:right w:val="none" w:sz="0" w:space="0" w:color="auto"/>
      </w:divBdr>
    </w:div>
    <w:div w:id="311570055">
      <w:bodyDiv w:val="1"/>
      <w:marLeft w:val="0"/>
      <w:marRight w:val="0"/>
      <w:marTop w:val="0"/>
      <w:marBottom w:val="0"/>
      <w:divBdr>
        <w:top w:val="none" w:sz="0" w:space="0" w:color="auto"/>
        <w:left w:val="none" w:sz="0" w:space="0" w:color="auto"/>
        <w:bottom w:val="none" w:sz="0" w:space="0" w:color="auto"/>
        <w:right w:val="none" w:sz="0" w:space="0" w:color="auto"/>
      </w:divBdr>
    </w:div>
    <w:div w:id="322859844">
      <w:bodyDiv w:val="1"/>
      <w:marLeft w:val="0"/>
      <w:marRight w:val="0"/>
      <w:marTop w:val="0"/>
      <w:marBottom w:val="0"/>
      <w:divBdr>
        <w:top w:val="none" w:sz="0" w:space="0" w:color="auto"/>
        <w:left w:val="none" w:sz="0" w:space="0" w:color="auto"/>
        <w:bottom w:val="none" w:sz="0" w:space="0" w:color="auto"/>
        <w:right w:val="none" w:sz="0" w:space="0" w:color="auto"/>
      </w:divBdr>
    </w:div>
    <w:div w:id="470296193">
      <w:bodyDiv w:val="1"/>
      <w:marLeft w:val="0"/>
      <w:marRight w:val="0"/>
      <w:marTop w:val="0"/>
      <w:marBottom w:val="0"/>
      <w:divBdr>
        <w:top w:val="none" w:sz="0" w:space="0" w:color="auto"/>
        <w:left w:val="none" w:sz="0" w:space="0" w:color="auto"/>
        <w:bottom w:val="none" w:sz="0" w:space="0" w:color="auto"/>
        <w:right w:val="none" w:sz="0" w:space="0" w:color="auto"/>
      </w:divBdr>
    </w:div>
    <w:div w:id="617182845">
      <w:bodyDiv w:val="1"/>
      <w:marLeft w:val="0"/>
      <w:marRight w:val="0"/>
      <w:marTop w:val="0"/>
      <w:marBottom w:val="0"/>
      <w:divBdr>
        <w:top w:val="none" w:sz="0" w:space="0" w:color="auto"/>
        <w:left w:val="none" w:sz="0" w:space="0" w:color="auto"/>
        <w:bottom w:val="none" w:sz="0" w:space="0" w:color="auto"/>
        <w:right w:val="none" w:sz="0" w:space="0" w:color="auto"/>
      </w:divBdr>
    </w:div>
    <w:div w:id="700664802">
      <w:bodyDiv w:val="1"/>
      <w:marLeft w:val="0"/>
      <w:marRight w:val="0"/>
      <w:marTop w:val="0"/>
      <w:marBottom w:val="0"/>
      <w:divBdr>
        <w:top w:val="none" w:sz="0" w:space="0" w:color="auto"/>
        <w:left w:val="none" w:sz="0" w:space="0" w:color="auto"/>
        <w:bottom w:val="none" w:sz="0" w:space="0" w:color="auto"/>
        <w:right w:val="none" w:sz="0" w:space="0" w:color="auto"/>
      </w:divBdr>
    </w:div>
    <w:div w:id="737824073">
      <w:bodyDiv w:val="1"/>
      <w:marLeft w:val="0"/>
      <w:marRight w:val="0"/>
      <w:marTop w:val="0"/>
      <w:marBottom w:val="0"/>
      <w:divBdr>
        <w:top w:val="none" w:sz="0" w:space="0" w:color="auto"/>
        <w:left w:val="none" w:sz="0" w:space="0" w:color="auto"/>
        <w:bottom w:val="none" w:sz="0" w:space="0" w:color="auto"/>
        <w:right w:val="none" w:sz="0" w:space="0" w:color="auto"/>
      </w:divBdr>
    </w:div>
    <w:div w:id="1036077528">
      <w:bodyDiv w:val="1"/>
      <w:marLeft w:val="0"/>
      <w:marRight w:val="0"/>
      <w:marTop w:val="0"/>
      <w:marBottom w:val="0"/>
      <w:divBdr>
        <w:top w:val="none" w:sz="0" w:space="0" w:color="auto"/>
        <w:left w:val="none" w:sz="0" w:space="0" w:color="auto"/>
        <w:bottom w:val="none" w:sz="0" w:space="0" w:color="auto"/>
        <w:right w:val="none" w:sz="0" w:space="0" w:color="auto"/>
      </w:divBdr>
    </w:div>
    <w:div w:id="1114907796">
      <w:bodyDiv w:val="1"/>
      <w:marLeft w:val="0"/>
      <w:marRight w:val="0"/>
      <w:marTop w:val="0"/>
      <w:marBottom w:val="0"/>
      <w:divBdr>
        <w:top w:val="none" w:sz="0" w:space="0" w:color="auto"/>
        <w:left w:val="none" w:sz="0" w:space="0" w:color="auto"/>
        <w:bottom w:val="none" w:sz="0" w:space="0" w:color="auto"/>
        <w:right w:val="none" w:sz="0" w:space="0" w:color="auto"/>
      </w:divBdr>
    </w:div>
    <w:div w:id="1248465733">
      <w:bodyDiv w:val="1"/>
      <w:marLeft w:val="0"/>
      <w:marRight w:val="0"/>
      <w:marTop w:val="0"/>
      <w:marBottom w:val="0"/>
      <w:divBdr>
        <w:top w:val="none" w:sz="0" w:space="0" w:color="auto"/>
        <w:left w:val="none" w:sz="0" w:space="0" w:color="auto"/>
        <w:bottom w:val="none" w:sz="0" w:space="0" w:color="auto"/>
        <w:right w:val="none" w:sz="0" w:space="0" w:color="auto"/>
      </w:divBdr>
    </w:div>
    <w:div w:id="1333996008">
      <w:bodyDiv w:val="1"/>
      <w:marLeft w:val="0"/>
      <w:marRight w:val="0"/>
      <w:marTop w:val="0"/>
      <w:marBottom w:val="0"/>
      <w:divBdr>
        <w:top w:val="none" w:sz="0" w:space="0" w:color="auto"/>
        <w:left w:val="none" w:sz="0" w:space="0" w:color="auto"/>
        <w:bottom w:val="none" w:sz="0" w:space="0" w:color="auto"/>
        <w:right w:val="none" w:sz="0" w:space="0" w:color="auto"/>
      </w:divBdr>
    </w:div>
    <w:div w:id="1510368858">
      <w:bodyDiv w:val="1"/>
      <w:marLeft w:val="0"/>
      <w:marRight w:val="0"/>
      <w:marTop w:val="0"/>
      <w:marBottom w:val="0"/>
      <w:divBdr>
        <w:top w:val="none" w:sz="0" w:space="0" w:color="auto"/>
        <w:left w:val="none" w:sz="0" w:space="0" w:color="auto"/>
        <w:bottom w:val="none" w:sz="0" w:space="0" w:color="auto"/>
        <w:right w:val="none" w:sz="0" w:space="0" w:color="auto"/>
      </w:divBdr>
    </w:div>
    <w:div w:id="1734112155">
      <w:bodyDiv w:val="1"/>
      <w:marLeft w:val="0"/>
      <w:marRight w:val="0"/>
      <w:marTop w:val="0"/>
      <w:marBottom w:val="0"/>
      <w:divBdr>
        <w:top w:val="none" w:sz="0" w:space="0" w:color="auto"/>
        <w:left w:val="none" w:sz="0" w:space="0" w:color="auto"/>
        <w:bottom w:val="none" w:sz="0" w:space="0" w:color="auto"/>
        <w:right w:val="none" w:sz="0" w:space="0" w:color="auto"/>
      </w:divBdr>
    </w:div>
    <w:div w:id="1895235662">
      <w:bodyDiv w:val="1"/>
      <w:marLeft w:val="0"/>
      <w:marRight w:val="0"/>
      <w:marTop w:val="0"/>
      <w:marBottom w:val="0"/>
      <w:divBdr>
        <w:top w:val="none" w:sz="0" w:space="0" w:color="auto"/>
        <w:left w:val="none" w:sz="0" w:space="0" w:color="auto"/>
        <w:bottom w:val="none" w:sz="0" w:space="0" w:color="auto"/>
        <w:right w:val="none" w:sz="0" w:space="0" w:color="auto"/>
      </w:divBdr>
    </w:div>
    <w:div w:id="2025743259">
      <w:bodyDiv w:val="1"/>
      <w:marLeft w:val="0"/>
      <w:marRight w:val="0"/>
      <w:marTop w:val="0"/>
      <w:marBottom w:val="0"/>
      <w:divBdr>
        <w:top w:val="none" w:sz="0" w:space="0" w:color="auto"/>
        <w:left w:val="none" w:sz="0" w:space="0" w:color="auto"/>
        <w:bottom w:val="none" w:sz="0" w:space="0" w:color="auto"/>
        <w:right w:val="none" w:sz="0" w:space="0" w:color="auto"/>
      </w:divBdr>
    </w:div>
    <w:div w:id="2051880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ollish\AppData\Local\Microsoft\Windows\INetCache\Content.Outlook\58U835CU\OfS%20report%20(printer%20friendly)%20(SH%20comments).dotx" TargetMode="External"/></Relationships>
</file>

<file path=word/theme/theme1.xml><?xml version="1.0" encoding="utf-8"?>
<a:theme xmlns:a="http://schemas.openxmlformats.org/drawingml/2006/main" name="Office Theme">
  <a:themeElements>
    <a:clrScheme name="Office for Students">
      <a:dk1>
        <a:sysClr val="windowText" lastClr="000000"/>
      </a:dk1>
      <a:lt1>
        <a:sysClr val="window" lastClr="FFFFFF"/>
      </a:lt1>
      <a:dk2>
        <a:srgbClr val="000000"/>
      </a:dk2>
      <a:lt2>
        <a:srgbClr val="FFFFFF"/>
      </a:lt2>
      <a:accent1>
        <a:srgbClr val="323157"/>
      </a:accent1>
      <a:accent2>
        <a:srgbClr val="FFCF01"/>
      </a:accent2>
      <a:accent3>
        <a:srgbClr val="22B893"/>
      </a:accent3>
      <a:accent4>
        <a:srgbClr val="F0565A"/>
      </a:accent4>
      <a:accent5>
        <a:srgbClr val="00AEEF"/>
      </a:accent5>
      <a:accent6>
        <a:srgbClr val="F47B20"/>
      </a:accent6>
      <a:hlink>
        <a:srgbClr val="323157"/>
      </a:hlink>
      <a:folHlink>
        <a:srgbClr val="323157"/>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124859-F18D-4750-9D18-B0D5579A6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OfS report (printer friendly) (SH comments)</Template>
  <TotalTime>35</TotalTime>
  <Pages>4</Pages>
  <Words>1881</Words>
  <Characters>10727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OfS 2018.04 Annex D: Template for a student protection plan</vt:lpstr>
    </vt:vector>
  </TitlesOfParts>
  <Company>MOJ</Company>
  <LinksUpToDate>false</LinksUpToDate>
  <CharactersWithSpaces>12583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OfS 2018.04 Annex D: Template for a student protection plan</dc:title>
  <dc:subject/>
  <dc:creator>OfS</dc:creator>
  <cp:keywords/>
  <dc:description/>
  <cp:lastModifiedBy>Adam Toyne</cp:lastModifiedBy>
  <cp:revision>13</cp:revision>
  <cp:lastPrinted>2018-11-15T11:19:00Z</cp:lastPrinted>
  <dcterms:created xsi:type="dcterms:W3CDTF">2018-11-14T15:14:00Z</dcterms:created>
  <dcterms:modified xsi:type="dcterms:W3CDTF">2020-03-10T10:11:00Z</dcterms:modified>
</cp:coreProperties>
</file>